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DF149" w14:textId="188E2BF6" w:rsidR="006D6BA5" w:rsidRPr="005416DA" w:rsidRDefault="006D6BA5" w:rsidP="00E16BE6">
      <w:pPr>
        <w:numPr>
          <w:ilvl w:val="0"/>
          <w:numId w:val="9"/>
        </w:numPr>
        <w:autoSpaceDE w:val="0"/>
        <w:autoSpaceDN w:val="0"/>
        <w:adjustRightInd w:val="0"/>
        <w:spacing w:after="240" w:line="240" w:lineRule="auto"/>
        <w:rPr>
          <w:rFonts w:asciiTheme="minorHAnsi" w:hAnsiTheme="minorHAnsi" w:cstheme="minorHAnsi"/>
          <w:b/>
          <w:bCs/>
          <w:u w:val="single"/>
        </w:rPr>
      </w:pPr>
      <w:r w:rsidRPr="00DA30AD">
        <w:rPr>
          <w:rFonts w:asciiTheme="minorHAnsi" w:hAnsiTheme="minorHAnsi" w:cstheme="minorHAnsi"/>
          <w:b/>
          <w:bCs/>
          <w:u w:val="single"/>
        </w:rPr>
        <w:t>Purpose</w:t>
      </w:r>
    </w:p>
    <w:p w14:paraId="0188DE28" w14:textId="60C38080" w:rsidR="006D0B38" w:rsidRDefault="00DC6978" w:rsidP="00E16BE6">
      <w:pPr>
        <w:autoSpaceDE w:val="0"/>
        <w:autoSpaceDN w:val="0"/>
        <w:adjustRightInd w:val="0"/>
        <w:spacing w:after="240" w:line="240" w:lineRule="auto"/>
        <w:ind w:left="360"/>
        <w:jc w:val="both"/>
        <w:rPr>
          <w:rFonts w:asciiTheme="minorHAnsi" w:hAnsiTheme="minorHAnsi" w:cstheme="minorHAnsi"/>
          <w:b/>
          <w:bCs/>
          <w:u w:val="single"/>
        </w:rPr>
      </w:pPr>
      <w:r w:rsidRPr="00DC6978">
        <w:rPr>
          <w:rFonts w:asciiTheme="minorHAnsi" w:hAnsiTheme="minorHAnsi" w:cstheme="minorHAnsi"/>
          <w:bCs/>
        </w:rPr>
        <w:t xml:space="preserve">The purpose of this policy is to provide uniform standards </w:t>
      </w:r>
      <w:r w:rsidR="00FB7957">
        <w:rPr>
          <w:rFonts w:asciiTheme="minorHAnsi" w:hAnsiTheme="minorHAnsi" w:cstheme="minorHAnsi"/>
          <w:bCs/>
        </w:rPr>
        <w:t xml:space="preserve">for County departments </w:t>
      </w:r>
      <w:r w:rsidR="00060DFE">
        <w:rPr>
          <w:rFonts w:asciiTheme="minorHAnsi" w:hAnsiTheme="minorHAnsi" w:cstheme="minorHAnsi"/>
          <w:bCs/>
        </w:rPr>
        <w:t>that</w:t>
      </w:r>
      <w:r w:rsidR="00FB7957">
        <w:rPr>
          <w:rFonts w:asciiTheme="minorHAnsi" w:hAnsiTheme="minorHAnsi" w:cstheme="minorHAnsi"/>
          <w:bCs/>
        </w:rPr>
        <w:t xml:space="preserve"> </w:t>
      </w:r>
      <w:r w:rsidR="00060DFE">
        <w:rPr>
          <w:rFonts w:asciiTheme="minorHAnsi" w:hAnsiTheme="minorHAnsi" w:cstheme="minorHAnsi"/>
          <w:bCs/>
        </w:rPr>
        <w:t>provide</w:t>
      </w:r>
      <w:r w:rsidR="00FB7957">
        <w:rPr>
          <w:rFonts w:asciiTheme="minorHAnsi" w:hAnsiTheme="minorHAnsi" w:cstheme="minorHAnsi"/>
          <w:bCs/>
        </w:rPr>
        <w:t xml:space="preserve"> goods and services to another County department.</w:t>
      </w:r>
    </w:p>
    <w:p w14:paraId="15FA8107" w14:textId="47259B72" w:rsidR="008C1738" w:rsidRPr="005416DA" w:rsidRDefault="00DC6978" w:rsidP="00E16BE6">
      <w:pPr>
        <w:numPr>
          <w:ilvl w:val="0"/>
          <w:numId w:val="9"/>
        </w:numPr>
        <w:autoSpaceDE w:val="0"/>
        <w:autoSpaceDN w:val="0"/>
        <w:adjustRightInd w:val="0"/>
        <w:spacing w:after="240" w:line="240" w:lineRule="auto"/>
        <w:jc w:val="both"/>
        <w:rPr>
          <w:rFonts w:asciiTheme="minorHAnsi" w:hAnsiTheme="minorHAnsi" w:cstheme="minorHAnsi"/>
          <w:b/>
          <w:bCs/>
          <w:u w:val="single"/>
        </w:rPr>
      </w:pPr>
      <w:r>
        <w:rPr>
          <w:rFonts w:asciiTheme="minorHAnsi" w:hAnsiTheme="minorHAnsi" w:cstheme="minorHAnsi"/>
          <w:b/>
          <w:bCs/>
          <w:u w:val="single"/>
        </w:rPr>
        <w:t>Definitions</w:t>
      </w:r>
    </w:p>
    <w:p w14:paraId="44216A60" w14:textId="60227020" w:rsidR="00DC6978" w:rsidRPr="00BA60C5"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 xml:space="preserve">Capital </w:t>
      </w:r>
      <w:r w:rsidR="00FB7957" w:rsidRPr="00BA60C5">
        <w:rPr>
          <w:rFonts w:asciiTheme="minorHAnsi" w:hAnsiTheme="minorHAnsi" w:cstheme="minorHAnsi"/>
          <w:b/>
          <w:bCs/>
        </w:rPr>
        <w:t>e</w:t>
      </w:r>
      <w:r w:rsidRPr="00BA60C5">
        <w:rPr>
          <w:rFonts w:asciiTheme="minorHAnsi" w:hAnsiTheme="minorHAnsi" w:cstheme="minorHAnsi"/>
          <w:b/>
          <w:bCs/>
        </w:rPr>
        <w:t xml:space="preserve">quipment </w:t>
      </w:r>
      <w:r w:rsidRPr="00DC6978">
        <w:rPr>
          <w:rFonts w:asciiTheme="minorHAnsi" w:hAnsiTheme="minorHAnsi" w:cstheme="minorHAnsi"/>
          <w:bCs/>
        </w:rPr>
        <w:t xml:space="preserve">means equipment </w:t>
      </w:r>
      <w:r w:rsidR="0077006F">
        <w:rPr>
          <w:rFonts w:asciiTheme="minorHAnsi" w:hAnsiTheme="minorHAnsi" w:cstheme="minorHAnsi"/>
          <w:bCs/>
        </w:rPr>
        <w:t xml:space="preserve">with an original </w:t>
      </w:r>
      <w:r w:rsidRPr="00DC6978">
        <w:rPr>
          <w:rFonts w:asciiTheme="minorHAnsi" w:hAnsiTheme="minorHAnsi" w:cstheme="minorHAnsi"/>
          <w:bCs/>
        </w:rPr>
        <w:t xml:space="preserve">cost </w:t>
      </w:r>
      <w:r w:rsidR="00A63C7B">
        <w:rPr>
          <w:rFonts w:asciiTheme="minorHAnsi" w:hAnsiTheme="minorHAnsi" w:cstheme="minorHAnsi"/>
          <w:bCs/>
        </w:rPr>
        <w:t>[</w:t>
      </w:r>
      <w:r w:rsidRPr="00DC6978">
        <w:rPr>
          <w:rFonts w:asciiTheme="minorHAnsi" w:hAnsiTheme="minorHAnsi" w:cstheme="minorHAnsi"/>
          <w:bCs/>
        </w:rPr>
        <w:t xml:space="preserve">over $5,000 </w:t>
      </w:r>
      <w:r w:rsidR="00A63C7B">
        <w:rPr>
          <w:rFonts w:asciiTheme="minorHAnsi" w:hAnsiTheme="minorHAnsi" w:cstheme="minorHAnsi"/>
          <w:bCs/>
        </w:rPr>
        <w:t>and</w:t>
      </w:r>
      <w:r w:rsidRPr="00DC6978">
        <w:rPr>
          <w:rFonts w:asciiTheme="minorHAnsi" w:hAnsiTheme="minorHAnsi" w:cstheme="minorHAnsi"/>
          <w:bCs/>
        </w:rPr>
        <w:t xml:space="preserve"> has a useful life of more than 12 months.</w:t>
      </w:r>
    </w:p>
    <w:p w14:paraId="3F7E9820" w14:textId="68938BE0" w:rsidR="00DC6978" w:rsidRPr="00BA60C5"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 xml:space="preserve">Central </w:t>
      </w:r>
      <w:r w:rsidR="00FB7957" w:rsidRPr="00BA60C5">
        <w:rPr>
          <w:rFonts w:asciiTheme="minorHAnsi" w:hAnsiTheme="minorHAnsi" w:cstheme="minorHAnsi"/>
          <w:b/>
          <w:bCs/>
        </w:rPr>
        <w:t>s</w:t>
      </w:r>
      <w:r w:rsidRPr="00BA60C5">
        <w:rPr>
          <w:rFonts w:asciiTheme="minorHAnsi" w:hAnsiTheme="minorHAnsi" w:cstheme="minorHAnsi"/>
          <w:b/>
          <w:bCs/>
        </w:rPr>
        <w:t xml:space="preserve">ervice </w:t>
      </w:r>
      <w:r w:rsidR="00FB7957" w:rsidRPr="00BA60C5">
        <w:rPr>
          <w:rFonts w:asciiTheme="minorHAnsi" w:hAnsiTheme="minorHAnsi" w:cstheme="minorHAnsi"/>
          <w:b/>
          <w:bCs/>
        </w:rPr>
        <w:t>c</w:t>
      </w:r>
      <w:r w:rsidRPr="00BA60C5">
        <w:rPr>
          <w:rFonts w:asciiTheme="minorHAnsi" w:hAnsiTheme="minorHAnsi" w:cstheme="minorHAnsi"/>
          <w:b/>
          <w:bCs/>
        </w:rPr>
        <w:t>osts</w:t>
      </w:r>
      <w:r w:rsidRPr="00DC6978">
        <w:rPr>
          <w:rFonts w:asciiTheme="minorHAnsi" w:hAnsiTheme="minorHAnsi" w:cstheme="minorHAnsi"/>
          <w:bCs/>
        </w:rPr>
        <w:t xml:space="preserve"> mean costs of providing accounting, human resources, payroll, purchasing, internal audit, treasury, and certain information technology services to other </w:t>
      </w:r>
      <w:r w:rsidR="00165C2D">
        <w:rPr>
          <w:rFonts w:asciiTheme="minorHAnsi" w:hAnsiTheme="minorHAnsi" w:cstheme="minorHAnsi"/>
          <w:bCs/>
        </w:rPr>
        <w:t>d</w:t>
      </w:r>
      <w:r w:rsidRPr="00DC6978">
        <w:rPr>
          <w:rFonts w:asciiTheme="minorHAnsi" w:hAnsiTheme="minorHAnsi" w:cstheme="minorHAnsi"/>
          <w:bCs/>
        </w:rPr>
        <w:t xml:space="preserve">epartments. </w:t>
      </w:r>
    </w:p>
    <w:p w14:paraId="6841847B" w14:textId="7F69FBF8" w:rsidR="00DC6978" w:rsidRPr="00BA60C5"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Department</w:t>
      </w:r>
      <w:r w:rsidRPr="00DC6978">
        <w:rPr>
          <w:rFonts w:asciiTheme="minorHAnsi" w:hAnsiTheme="minorHAnsi" w:cstheme="minorHAnsi"/>
          <w:bCs/>
        </w:rPr>
        <w:t xml:space="preserve"> means any functional unit within a fund that carries on a specific activity.</w:t>
      </w:r>
    </w:p>
    <w:p w14:paraId="70CA0CC4" w14:textId="3F37E69A" w:rsidR="00DC6978" w:rsidRPr="00BA60C5"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Selling</w:t>
      </w:r>
      <w:r w:rsidRPr="00DC6978">
        <w:rPr>
          <w:rFonts w:asciiTheme="minorHAnsi" w:hAnsiTheme="minorHAnsi" w:cstheme="minorHAnsi"/>
          <w:bCs/>
        </w:rPr>
        <w:t xml:space="preserve"> </w:t>
      </w:r>
      <w:r w:rsidR="00534A86" w:rsidRPr="00BA60C5">
        <w:rPr>
          <w:rFonts w:asciiTheme="minorHAnsi" w:hAnsiTheme="minorHAnsi" w:cstheme="minorHAnsi"/>
          <w:b/>
          <w:bCs/>
        </w:rPr>
        <w:t>d</w:t>
      </w:r>
      <w:r w:rsidRPr="00BA60C5">
        <w:rPr>
          <w:rFonts w:asciiTheme="minorHAnsi" w:hAnsiTheme="minorHAnsi" w:cstheme="minorHAnsi"/>
          <w:b/>
          <w:bCs/>
        </w:rPr>
        <w:t>epartment</w:t>
      </w:r>
      <w:r w:rsidRPr="00DC6978">
        <w:rPr>
          <w:rFonts w:asciiTheme="minorHAnsi" w:hAnsiTheme="minorHAnsi" w:cstheme="minorHAnsi"/>
          <w:bCs/>
        </w:rPr>
        <w:t xml:space="preserve"> means the department providing the goods or services to </w:t>
      </w:r>
      <w:r w:rsidR="00165C2D">
        <w:rPr>
          <w:rFonts w:asciiTheme="minorHAnsi" w:hAnsiTheme="minorHAnsi" w:cstheme="minorHAnsi"/>
          <w:bCs/>
        </w:rPr>
        <w:t>the receiving</w:t>
      </w:r>
      <w:r w:rsidR="00165C2D" w:rsidRPr="00DC6978">
        <w:rPr>
          <w:rFonts w:asciiTheme="minorHAnsi" w:hAnsiTheme="minorHAnsi" w:cstheme="minorHAnsi"/>
          <w:bCs/>
        </w:rPr>
        <w:t xml:space="preserve"> </w:t>
      </w:r>
      <w:r w:rsidRPr="00DC6978">
        <w:rPr>
          <w:rFonts w:asciiTheme="minorHAnsi" w:hAnsiTheme="minorHAnsi" w:cstheme="minorHAnsi"/>
          <w:bCs/>
        </w:rPr>
        <w:t>department.</w:t>
      </w:r>
    </w:p>
    <w:p w14:paraId="6C13D381" w14:textId="243474F0" w:rsidR="006D6BA5" w:rsidRPr="00E16BE6" w:rsidRDefault="00DC6978" w:rsidP="00E16BE6">
      <w:pPr>
        <w:pStyle w:val="ListParagraph"/>
        <w:numPr>
          <w:ilvl w:val="0"/>
          <w:numId w:val="57"/>
        </w:numPr>
        <w:autoSpaceDE w:val="0"/>
        <w:autoSpaceDN w:val="0"/>
        <w:adjustRightInd w:val="0"/>
        <w:spacing w:after="240" w:line="240" w:lineRule="auto"/>
        <w:ind w:left="1080"/>
        <w:contextualSpacing w:val="0"/>
        <w:jc w:val="both"/>
        <w:rPr>
          <w:rFonts w:asciiTheme="minorHAnsi" w:hAnsiTheme="minorHAnsi" w:cstheme="minorHAnsi"/>
          <w:bCs/>
        </w:rPr>
      </w:pPr>
      <w:r w:rsidRPr="00BA60C5">
        <w:rPr>
          <w:rFonts w:asciiTheme="minorHAnsi" w:hAnsiTheme="minorHAnsi" w:cstheme="minorHAnsi"/>
          <w:b/>
          <w:bCs/>
        </w:rPr>
        <w:t>Receiving</w:t>
      </w:r>
      <w:r w:rsidRPr="00DC6978">
        <w:rPr>
          <w:rFonts w:asciiTheme="minorHAnsi" w:hAnsiTheme="minorHAnsi" w:cstheme="minorHAnsi"/>
          <w:bCs/>
        </w:rPr>
        <w:t xml:space="preserve"> </w:t>
      </w:r>
      <w:r w:rsidR="00534A86">
        <w:rPr>
          <w:rFonts w:asciiTheme="minorHAnsi" w:hAnsiTheme="minorHAnsi" w:cstheme="minorHAnsi"/>
          <w:b/>
          <w:bCs/>
        </w:rPr>
        <w:t>d</w:t>
      </w:r>
      <w:r w:rsidRPr="00BA60C5">
        <w:rPr>
          <w:rFonts w:asciiTheme="minorHAnsi" w:hAnsiTheme="minorHAnsi" w:cstheme="minorHAnsi"/>
          <w:b/>
          <w:bCs/>
        </w:rPr>
        <w:t>epartment</w:t>
      </w:r>
      <w:r w:rsidRPr="00DC6978">
        <w:rPr>
          <w:rFonts w:asciiTheme="minorHAnsi" w:hAnsiTheme="minorHAnsi" w:cstheme="minorHAnsi"/>
          <w:bCs/>
        </w:rPr>
        <w:t xml:space="preserve"> means the department receiving the goods or services from </w:t>
      </w:r>
      <w:r w:rsidR="00165C2D">
        <w:rPr>
          <w:rFonts w:asciiTheme="minorHAnsi" w:hAnsiTheme="minorHAnsi" w:cstheme="minorHAnsi"/>
          <w:bCs/>
        </w:rPr>
        <w:t xml:space="preserve">the selling </w:t>
      </w:r>
      <w:r w:rsidRPr="00DC6978">
        <w:rPr>
          <w:rFonts w:asciiTheme="minorHAnsi" w:hAnsiTheme="minorHAnsi" w:cstheme="minorHAnsi"/>
          <w:bCs/>
        </w:rPr>
        <w:t>department.</w:t>
      </w:r>
    </w:p>
    <w:p w14:paraId="5441D840" w14:textId="0B76D197" w:rsidR="00DC6978" w:rsidRPr="005416DA" w:rsidRDefault="00DC6978" w:rsidP="00E16BE6">
      <w:pPr>
        <w:numPr>
          <w:ilvl w:val="0"/>
          <w:numId w:val="9"/>
        </w:numPr>
        <w:autoSpaceDE w:val="0"/>
        <w:autoSpaceDN w:val="0"/>
        <w:adjustRightInd w:val="0"/>
        <w:spacing w:after="240" w:line="240" w:lineRule="auto"/>
        <w:jc w:val="both"/>
        <w:rPr>
          <w:rFonts w:asciiTheme="minorHAnsi" w:hAnsiTheme="minorHAnsi" w:cstheme="minorHAnsi"/>
          <w:b/>
          <w:bCs/>
          <w:u w:val="single"/>
        </w:rPr>
      </w:pPr>
      <w:r>
        <w:rPr>
          <w:rFonts w:asciiTheme="minorHAnsi" w:hAnsiTheme="minorHAnsi" w:cstheme="minorHAnsi"/>
          <w:b/>
          <w:bCs/>
          <w:u w:val="single"/>
        </w:rPr>
        <w:t>Policy</w:t>
      </w:r>
    </w:p>
    <w:p w14:paraId="118373AF" w14:textId="2FB24CD4" w:rsidR="00A63C7B" w:rsidRDefault="00A63C7B"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Goods</w:t>
      </w:r>
      <w:r w:rsidRPr="00DC6978">
        <w:rPr>
          <w:rFonts w:asciiTheme="minorHAnsi" w:hAnsiTheme="minorHAnsi" w:cstheme="minorHAnsi"/>
          <w:bCs/>
        </w:rPr>
        <w:t xml:space="preserve"> </w:t>
      </w:r>
      <w:r w:rsidR="00DC6978" w:rsidRPr="00DC6978">
        <w:rPr>
          <w:rFonts w:asciiTheme="minorHAnsi" w:hAnsiTheme="minorHAnsi" w:cstheme="minorHAnsi"/>
          <w:bCs/>
        </w:rPr>
        <w:t xml:space="preserve">and services may be bought or sold directly between </w:t>
      </w:r>
      <w:r>
        <w:rPr>
          <w:rFonts w:asciiTheme="minorHAnsi" w:hAnsiTheme="minorHAnsi" w:cstheme="minorHAnsi"/>
          <w:bCs/>
        </w:rPr>
        <w:t>C</w:t>
      </w:r>
      <w:r w:rsidR="00DC6978" w:rsidRPr="00DC6978">
        <w:rPr>
          <w:rFonts w:asciiTheme="minorHAnsi" w:hAnsiTheme="minorHAnsi" w:cstheme="minorHAnsi"/>
          <w:bCs/>
        </w:rPr>
        <w:t>ounty departments without involving the Purchasing D</w:t>
      </w:r>
      <w:r w:rsidR="00060DFE">
        <w:rPr>
          <w:rFonts w:asciiTheme="minorHAnsi" w:hAnsiTheme="minorHAnsi" w:cstheme="minorHAnsi"/>
          <w:bCs/>
        </w:rPr>
        <w:t>ivision</w:t>
      </w:r>
      <w:r w:rsidR="00DC6978" w:rsidRPr="00DC6978">
        <w:rPr>
          <w:rFonts w:asciiTheme="minorHAnsi" w:hAnsiTheme="minorHAnsi" w:cstheme="minorHAnsi"/>
          <w:bCs/>
        </w:rPr>
        <w:t xml:space="preserve">. </w:t>
      </w:r>
    </w:p>
    <w:p w14:paraId="3BAD36C4" w14:textId="7C94A713" w:rsidR="00DC6978" w:rsidRPr="00DC6978" w:rsidRDefault="00DC6978"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When one department provides goods or services to another department within the County, the </w:t>
      </w:r>
      <w:r w:rsidR="00A63C7B">
        <w:rPr>
          <w:rFonts w:asciiTheme="minorHAnsi" w:hAnsiTheme="minorHAnsi" w:cstheme="minorHAnsi"/>
          <w:bCs/>
        </w:rPr>
        <w:t>s</w:t>
      </w:r>
      <w:r w:rsidRPr="00DC6978">
        <w:rPr>
          <w:rFonts w:asciiTheme="minorHAnsi" w:hAnsiTheme="minorHAnsi" w:cstheme="minorHAnsi"/>
          <w:bCs/>
        </w:rPr>
        <w:t xml:space="preserve">elling </w:t>
      </w:r>
      <w:r w:rsidR="00A63C7B">
        <w:rPr>
          <w:rFonts w:asciiTheme="minorHAnsi" w:hAnsiTheme="minorHAnsi" w:cstheme="minorHAnsi"/>
          <w:bCs/>
        </w:rPr>
        <w:t>d</w:t>
      </w:r>
      <w:r w:rsidRPr="00DC6978">
        <w:rPr>
          <w:rFonts w:asciiTheme="minorHAnsi" w:hAnsiTheme="minorHAnsi" w:cstheme="minorHAnsi"/>
          <w:bCs/>
        </w:rPr>
        <w:t xml:space="preserve">epartment shall charge the </w:t>
      </w:r>
      <w:r w:rsidR="00A63C7B">
        <w:rPr>
          <w:rFonts w:asciiTheme="minorHAnsi" w:hAnsiTheme="minorHAnsi" w:cstheme="minorHAnsi"/>
          <w:bCs/>
        </w:rPr>
        <w:t>r</w:t>
      </w:r>
      <w:r w:rsidRPr="00DC6978">
        <w:rPr>
          <w:rFonts w:asciiTheme="minorHAnsi" w:hAnsiTheme="minorHAnsi" w:cstheme="minorHAnsi"/>
          <w:bCs/>
        </w:rPr>
        <w:t xml:space="preserve">eceiving </w:t>
      </w:r>
      <w:r w:rsidR="00A63C7B">
        <w:rPr>
          <w:rFonts w:asciiTheme="minorHAnsi" w:hAnsiTheme="minorHAnsi" w:cstheme="minorHAnsi"/>
          <w:bCs/>
        </w:rPr>
        <w:t>d</w:t>
      </w:r>
      <w:r w:rsidRPr="00DC6978">
        <w:rPr>
          <w:rFonts w:asciiTheme="minorHAnsi" w:hAnsiTheme="minorHAnsi" w:cstheme="minorHAnsi"/>
          <w:bCs/>
        </w:rPr>
        <w:t xml:space="preserve">epartment an amount sufficient to recover the </w:t>
      </w:r>
      <w:r w:rsidR="00A63C7B">
        <w:rPr>
          <w:rFonts w:asciiTheme="minorHAnsi" w:hAnsiTheme="minorHAnsi" w:cstheme="minorHAnsi"/>
          <w:bCs/>
        </w:rPr>
        <w:t xml:space="preserve">selling department’s </w:t>
      </w:r>
      <w:r w:rsidRPr="00DC6978">
        <w:rPr>
          <w:rFonts w:asciiTheme="minorHAnsi" w:hAnsiTheme="minorHAnsi" w:cstheme="minorHAnsi"/>
          <w:bCs/>
        </w:rPr>
        <w:t xml:space="preserve">cost of </w:t>
      </w:r>
      <w:r w:rsidR="00A63C7B">
        <w:rPr>
          <w:rFonts w:asciiTheme="minorHAnsi" w:hAnsiTheme="minorHAnsi" w:cstheme="minorHAnsi"/>
          <w:bCs/>
        </w:rPr>
        <w:t xml:space="preserve">providing the </w:t>
      </w:r>
      <w:r w:rsidRPr="00DC6978">
        <w:rPr>
          <w:rFonts w:asciiTheme="minorHAnsi" w:hAnsiTheme="minorHAnsi" w:cstheme="minorHAnsi"/>
          <w:bCs/>
        </w:rPr>
        <w:t xml:space="preserve">goods or services to the </w:t>
      </w:r>
      <w:r w:rsidR="00A63C7B">
        <w:rPr>
          <w:rFonts w:asciiTheme="minorHAnsi" w:hAnsiTheme="minorHAnsi" w:cstheme="minorHAnsi"/>
          <w:bCs/>
        </w:rPr>
        <w:t>r</w:t>
      </w:r>
      <w:r w:rsidRPr="00DC6978">
        <w:rPr>
          <w:rFonts w:asciiTheme="minorHAnsi" w:hAnsiTheme="minorHAnsi" w:cstheme="minorHAnsi"/>
          <w:bCs/>
        </w:rPr>
        <w:t xml:space="preserve">eceiving </w:t>
      </w:r>
      <w:r w:rsidR="003D26B4">
        <w:rPr>
          <w:rFonts w:asciiTheme="minorHAnsi" w:hAnsiTheme="minorHAnsi" w:cstheme="minorHAnsi"/>
          <w:bCs/>
        </w:rPr>
        <w:t>d</w:t>
      </w:r>
      <w:r w:rsidRPr="00DC6978">
        <w:rPr>
          <w:rFonts w:asciiTheme="minorHAnsi" w:hAnsiTheme="minorHAnsi" w:cstheme="minorHAnsi"/>
          <w:bCs/>
        </w:rPr>
        <w:t xml:space="preserve">epartment. </w:t>
      </w:r>
    </w:p>
    <w:p w14:paraId="7F1AE38D" w14:textId="5BB36E35" w:rsidR="00DC6978" w:rsidRPr="00DC6978" w:rsidRDefault="003D26B4"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 xml:space="preserve">To </w:t>
      </w:r>
      <w:r w:rsidR="00DC6978" w:rsidRPr="00DC6978">
        <w:rPr>
          <w:rFonts w:asciiTheme="minorHAnsi" w:hAnsiTheme="minorHAnsi" w:cstheme="minorHAnsi"/>
          <w:bCs/>
        </w:rPr>
        <w:t>determin</w:t>
      </w:r>
      <w:r>
        <w:rPr>
          <w:rFonts w:asciiTheme="minorHAnsi" w:hAnsiTheme="minorHAnsi" w:cstheme="minorHAnsi"/>
          <w:bCs/>
        </w:rPr>
        <w:t>e</w:t>
      </w:r>
      <w:r w:rsidR="00DC6978" w:rsidRPr="00DC6978">
        <w:rPr>
          <w:rFonts w:asciiTheme="minorHAnsi" w:hAnsiTheme="minorHAnsi" w:cstheme="minorHAnsi"/>
          <w:bCs/>
        </w:rPr>
        <w:t xml:space="preserve"> the cost </w:t>
      </w:r>
      <w:r w:rsidR="00A63C7B">
        <w:rPr>
          <w:rFonts w:asciiTheme="minorHAnsi" w:hAnsiTheme="minorHAnsi" w:cstheme="minorHAnsi"/>
          <w:bCs/>
        </w:rPr>
        <w:t xml:space="preserve">of providing the goods </w:t>
      </w:r>
      <w:r>
        <w:rPr>
          <w:rFonts w:asciiTheme="minorHAnsi" w:hAnsiTheme="minorHAnsi" w:cstheme="minorHAnsi"/>
          <w:bCs/>
        </w:rPr>
        <w:t>or services, the selling department shall consider</w:t>
      </w:r>
      <w:r w:rsidR="00DC6978" w:rsidRPr="00DC6978">
        <w:rPr>
          <w:rFonts w:asciiTheme="minorHAnsi" w:hAnsiTheme="minorHAnsi" w:cstheme="minorHAnsi"/>
          <w:bCs/>
        </w:rPr>
        <w:t xml:space="preserve">: </w:t>
      </w:r>
    </w:p>
    <w:p w14:paraId="45989D12" w14:textId="0D97C24C" w:rsidR="00DC6978" w:rsidRPr="00DC6978" w:rsidRDefault="003D26B4"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the s</w:t>
      </w:r>
      <w:r w:rsidR="00DC6978" w:rsidRPr="00DC6978">
        <w:rPr>
          <w:rFonts w:asciiTheme="minorHAnsi" w:hAnsiTheme="minorHAnsi" w:cstheme="minorHAnsi"/>
          <w:bCs/>
        </w:rPr>
        <w:t>alaries and benefits of staff to provide the good</w:t>
      </w:r>
      <w:r>
        <w:rPr>
          <w:rFonts w:asciiTheme="minorHAnsi" w:hAnsiTheme="minorHAnsi" w:cstheme="minorHAnsi"/>
          <w:bCs/>
        </w:rPr>
        <w:t>s</w:t>
      </w:r>
      <w:r w:rsidR="00DC6978" w:rsidRPr="00DC6978">
        <w:rPr>
          <w:rFonts w:asciiTheme="minorHAnsi" w:hAnsiTheme="minorHAnsi" w:cstheme="minorHAnsi"/>
          <w:bCs/>
        </w:rPr>
        <w:t xml:space="preserve"> or service</w:t>
      </w:r>
      <w:r>
        <w:rPr>
          <w:rFonts w:asciiTheme="minorHAnsi" w:hAnsiTheme="minorHAnsi" w:cstheme="minorHAnsi"/>
          <w:bCs/>
        </w:rPr>
        <w:t>s</w:t>
      </w:r>
      <w:r w:rsidR="00DC6978" w:rsidRPr="00DC6978">
        <w:rPr>
          <w:rFonts w:asciiTheme="minorHAnsi" w:hAnsiTheme="minorHAnsi" w:cstheme="minorHAnsi"/>
          <w:bCs/>
        </w:rPr>
        <w:t xml:space="preserve">; </w:t>
      </w:r>
    </w:p>
    <w:p w14:paraId="0ACE9754" w14:textId="12058553" w:rsidR="00DC6978" w:rsidRPr="00DC6978" w:rsidRDefault="003D26B4"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the s</w:t>
      </w:r>
      <w:r w:rsidR="00DC6978" w:rsidRPr="00DC6978">
        <w:rPr>
          <w:rFonts w:asciiTheme="minorHAnsi" w:hAnsiTheme="minorHAnsi" w:cstheme="minorHAnsi"/>
          <w:bCs/>
        </w:rPr>
        <w:t>upplies and materials associated with the good</w:t>
      </w:r>
      <w:r>
        <w:rPr>
          <w:rFonts w:asciiTheme="minorHAnsi" w:hAnsiTheme="minorHAnsi" w:cstheme="minorHAnsi"/>
          <w:bCs/>
        </w:rPr>
        <w:t>s</w:t>
      </w:r>
      <w:r w:rsidR="00DC6978" w:rsidRPr="00DC6978">
        <w:rPr>
          <w:rFonts w:asciiTheme="minorHAnsi" w:hAnsiTheme="minorHAnsi" w:cstheme="minorHAnsi"/>
          <w:bCs/>
        </w:rPr>
        <w:t xml:space="preserve"> or service</w:t>
      </w:r>
      <w:r>
        <w:rPr>
          <w:rFonts w:asciiTheme="minorHAnsi" w:hAnsiTheme="minorHAnsi" w:cstheme="minorHAnsi"/>
          <w:bCs/>
        </w:rPr>
        <w:t>s</w:t>
      </w:r>
      <w:r w:rsidR="00DC6978" w:rsidRPr="00DC6978">
        <w:rPr>
          <w:rFonts w:asciiTheme="minorHAnsi" w:hAnsiTheme="minorHAnsi" w:cstheme="minorHAnsi"/>
          <w:bCs/>
        </w:rPr>
        <w:t>; and</w:t>
      </w:r>
    </w:p>
    <w:p w14:paraId="61D63431" w14:textId="248BC451" w:rsidR="00DC6978" w:rsidRPr="00E16BE6" w:rsidRDefault="003D26B4"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e</w:t>
      </w:r>
      <w:r w:rsidR="00DC6978" w:rsidRPr="00DC6978">
        <w:rPr>
          <w:rFonts w:asciiTheme="minorHAnsi" w:hAnsiTheme="minorHAnsi" w:cstheme="minorHAnsi"/>
          <w:bCs/>
        </w:rPr>
        <w:t xml:space="preserve">quipment rental or depreciation and maintenance costs associated with </w:t>
      </w:r>
      <w:r>
        <w:rPr>
          <w:rFonts w:asciiTheme="minorHAnsi" w:hAnsiTheme="minorHAnsi" w:cstheme="minorHAnsi"/>
          <w:bCs/>
        </w:rPr>
        <w:t xml:space="preserve">the </w:t>
      </w:r>
      <w:r w:rsidR="00DC6978" w:rsidRPr="00DC6978">
        <w:rPr>
          <w:rFonts w:asciiTheme="minorHAnsi" w:hAnsiTheme="minorHAnsi" w:cstheme="minorHAnsi"/>
          <w:bCs/>
        </w:rPr>
        <w:t>equipment used in the process.</w:t>
      </w:r>
    </w:p>
    <w:p w14:paraId="7DA40244" w14:textId="3DA0D5C7" w:rsidR="003D26B4" w:rsidRDefault="003D26B4"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Selling departments</w:t>
      </w:r>
      <w:r w:rsidR="00DC6978" w:rsidRPr="00E16BE6">
        <w:rPr>
          <w:rFonts w:asciiTheme="minorHAnsi" w:hAnsiTheme="minorHAnsi" w:cstheme="minorHAnsi"/>
          <w:bCs/>
        </w:rPr>
        <w:t xml:space="preserve"> that </w:t>
      </w:r>
      <w:r>
        <w:rPr>
          <w:rFonts w:asciiTheme="minorHAnsi" w:hAnsiTheme="minorHAnsi" w:cstheme="minorHAnsi"/>
          <w:bCs/>
        </w:rPr>
        <w:t xml:space="preserve">regularly </w:t>
      </w:r>
      <w:r w:rsidR="00DC6978" w:rsidRPr="00E16BE6">
        <w:rPr>
          <w:rFonts w:asciiTheme="minorHAnsi" w:hAnsiTheme="minorHAnsi" w:cstheme="minorHAnsi"/>
          <w:bCs/>
        </w:rPr>
        <w:t xml:space="preserve">provide goods or services to other departments shall provide </w:t>
      </w:r>
      <w:r>
        <w:rPr>
          <w:rFonts w:asciiTheme="minorHAnsi" w:hAnsiTheme="minorHAnsi" w:cstheme="minorHAnsi"/>
          <w:bCs/>
        </w:rPr>
        <w:t xml:space="preserve">receiving departments </w:t>
      </w:r>
      <w:r w:rsidR="00DC6978" w:rsidRPr="00E16BE6">
        <w:rPr>
          <w:rFonts w:asciiTheme="minorHAnsi" w:hAnsiTheme="minorHAnsi" w:cstheme="minorHAnsi"/>
          <w:bCs/>
        </w:rPr>
        <w:t xml:space="preserve">a fee schedule showing the </w:t>
      </w:r>
      <w:r w:rsidR="00C22A66">
        <w:rPr>
          <w:rFonts w:asciiTheme="minorHAnsi" w:hAnsiTheme="minorHAnsi" w:cstheme="minorHAnsi"/>
          <w:bCs/>
        </w:rPr>
        <w:t xml:space="preserve">billing </w:t>
      </w:r>
      <w:r w:rsidR="00DC6978" w:rsidRPr="00E16BE6">
        <w:rPr>
          <w:rFonts w:asciiTheme="minorHAnsi" w:hAnsiTheme="minorHAnsi" w:cstheme="minorHAnsi"/>
          <w:bCs/>
        </w:rPr>
        <w:t xml:space="preserve">rates </w:t>
      </w:r>
      <w:r>
        <w:rPr>
          <w:rFonts w:asciiTheme="minorHAnsi" w:hAnsiTheme="minorHAnsi" w:cstheme="minorHAnsi"/>
          <w:bCs/>
        </w:rPr>
        <w:t>for</w:t>
      </w:r>
      <w:r w:rsidR="00DC6978" w:rsidRPr="00E16BE6">
        <w:rPr>
          <w:rFonts w:asciiTheme="minorHAnsi" w:hAnsiTheme="minorHAnsi" w:cstheme="minorHAnsi"/>
          <w:bCs/>
        </w:rPr>
        <w:t xml:space="preserve"> those goods and services.  </w:t>
      </w:r>
    </w:p>
    <w:p w14:paraId="08010CA9" w14:textId="68E8A510" w:rsidR="003D26B4" w:rsidRDefault="003D26B4"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lastRenderedPageBreak/>
        <w:t xml:space="preserve">Rates must be charged equally to all departments within the </w:t>
      </w:r>
      <w:r>
        <w:rPr>
          <w:rFonts w:asciiTheme="minorHAnsi" w:hAnsiTheme="minorHAnsi" w:cstheme="minorHAnsi"/>
          <w:bCs/>
        </w:rPr>
        <w:t>C</w:t>
      </w:r>
      <w:r w:rsidRPr="00DC6978">
        <w:rPr>
          <w:rFonts w:asciiTheme="minorHAnsi" w:hAnsiTheme="minorHAnsi" w:cstheme="minorHAnsi"/>
          <w:bCs/>
        </w:rPr>
        <w:t>ounty. Federally supported activities cannot be charged more than non-federally supported activities.</w:t>
      </w:r>
    </w:p>
    <w:p w14:paraId="320C297C" w14:textId="73F389BE" w:rsidR="00DC6978" w:rsidRPr="00E16BE6" w:rsidRDefault="00DC6978" w:rsidP="00E16BE6">
      <w:pPr>
        <w:pStyle w:val="ListParagraph"/>
        <w:numPr>
          <w:ilvl w:val="0"/>
          <w:numId w:val="62"/>
        </w:numPr>
        <w:tabs>
          <w:tab w:val="clear" w:pos="720"/>
          <w:tab w:val="num" w:pos="1080"/>
        </w:tabs>
        <w:autoSpaceDE w:val="0"/>
        <w:autoSpaceDN w:val="0"/>
        <w:adjustRightInd w:val="0"/>
        <w:spacing w:after="240" w:line="240" w:lineRule="auto"/>
        <w:contextualSpacing w:val="0"/>
        <w:jc w:val="both"/>
        <w:rPr>
          <w:rFonts w:asciiTheme="minorHAnsi" w:hAnsiTheme="minorHAnsi" w:cstheme="minorHAnsi"/>
          <w:bCs/>
        </w:rPr>
      </w:pPr>
      <w:r w:rsidRPr="00E16BE6">
        <w:rPr>
          <w:rFonts w:asciiTheme="minorHAnsi" w:hAnsiTheme="minorHAnsi" w:cstheme="minorHAnsi"/>
          <w:bCs/>
        </w:rPr>
        <w:t xml:space="preserve">Rates shall be calculated </w:t>
      </w:r>
      <w:r w:rsidR="00C22A66">
        <w:rPr>
          <w:rFonts w:asciiTheme="minorHAnsi" w:hAnsiTheme="minorHAnsi" w:cstheme="minorHAnsi"/>
          <w:bCs/>
        </w:rPr>
        <w:t>and regularly updated in accordance with the following</w:t>
      </w:r>
      <w:r w:rsidR="00060DFE">
        <w:rPr>
          <w:rFonts w:asciiTheme="minorHAnsi" w:hAnsiTheme="minorHAnsi" w:cstheme="minorHAnsi"/>
          <w:bCs/>
        </w:rPr>
        <w:t xml:space="preserve"> provisions.</w:t>
      </w:r>
    </w:p>
    <w:p w14:paraId="44595741" w14:textId="2345688D" w:rsidR="00DC6978" w:rsidRPr="00DC6978" w:rsidRDefault="00C22A66"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R</w:t>
      </w:r>
      <w:r w:rsidR="00DC6978" w:rsidRPr="00DC6978">
        <w:rPr>
          <w:rFonts w:asciiTheme="minorHAnsi" w:hAnsiTheme="minorHAnsi" w:cstheme="minorHAnsi"/>
          <w:bCs/>
        </w:rPr>
        <w:t>ates should be designed to recover the direct costs of providing the good</w:t>
      </w:r>
      <w:r>
        <w:rPr>
          <w:rFonts w:asciiTheme="minorHAnsi" w:hAnsiTheme="minorHAnsi" w:cstheme="minorHAnsi"/>
          <w:bCs/>
        </w:rPr>
        <w:t>s</w:t>
      </w:r>
      <w:r w:rsidR="00DC6978" w:rsidRPr="00DC6978">
        <w:rPr>
          <w:rFonts w:asciiTheme="minorHAnsi" w:hAnsiTheme="minorHAnsi" w:cstheme="minorHAnsi"/>
          <w:bCs/>
        </w:rPr>
        <w:t xml:space="preserve"> or service</w:t>
      </w:r>
      <w:r>
        <w:rPr>
          <w:rFonts w:asciiTheme="minorHAnsi" w:hAnsiTheme="minorHAnsi" w:cstheme="minorHAnsi"/>
          <w:bCs/>
        </w:rPr>
        <w:t>s</w:t>
      </w:r>
      <w:r w:rsidR="00DC6978" w:rsidRPr="00DC6978">
        <w:rPr>
          <w:rFonts w:asciiTheme="minorHAnsi" w:hAnsiTheme="minorHAnsi" w:cstheme="minorHAnsi"/>
          <w:bCs/>
        </w:rPr>
        <w:t xml:space="preserve">, including capital equipment costs.  No provision for profit or other increment above cost is allowed.  </w:t>
      </w:r>
    </w:p>
    <w:p w14:paraId="32753573" w14:textId="38C8A47E" w:rsidR="00DC6978" w:rsidRPr="00DC6978" w:rsidRDefault="00DC6978"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Rate calculations should exclude federally unallowable costs (e.g., entertainment, bad debts, alcoholic beverages) and be net of </w:t>
      </w:r>
      <w:r w:rsidR="0065100D">
        <w:rPr>
          <w:rFonts w:asciiTheme="minorHAnsi" w:hAnsiTheme="minorHAnsi" w:cstheme="minorHAnsi"/>
          <w:bCs/>
        </w:rPr>
        <w:t>rebates or</w:t>
      </w:r>
      <w:r w:rsidR="0065100D" w:rsidRPr="00DC6978">
        <w:rPr>
          <w:rFonts w:asciiTheme="minorHAnsi" w:hAnsiTheme="minorHAnsi" w:cstheme="minorHAnsi"/>
          <w:bCs/>
        </w:rPr>
        <w:t xml:space="preserve"> </w:t>
      </w:r>
      <w:r w:rsidRPr="00DC6978">
        <w:rPr>
          <w:rFonts w:asciiTheme="minorHAnsi" w:hAnsiTheme="minorHAnsi" w:cstheme="minorHAnsi"/>
          <w:bCs/>
        </w:rPr>
        <w:t xml:space="preserve">credits.  </w:t>
      </w:r>
    </w:p>
    <w:p w14:paraId="559058A3" w14:textId="045B4341" w:rsidR="00DC6978" w:rsidRPr="00DC6978" w:rsidRDefault="00DC6978"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Hourly rates may be calculated by taking the total cost for a class of employees (e.g. building service workers) divided by the total budget hours for the year.</w:t>
      </w:r>
    </w:p>
    <w:p w14:paraId="1DA55995" w14:textId="714FF734" w:rsidR="00DC6978" w:rsidRPr="00DC6978" w:rsidRDefault="00DC6978"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Alternate pricing structures based on time of day, season, volume discounts, turn-around time, etc. are acceptable, provided that they have a sound allocating basis, do not discriminate among users, and do not result in recovering more than the cost of providing the services. Alternate pricing structures should be published so users are able to consider the least costly means to obtain a good or service.</w:t>
      </w:r>
    </w:p>
    <w:p w14:paraId="6D21C06B" w14:textId="1C5FC036" w:rsidR="00DC6978" w:rsidRPr="00E16BE6" w:rsidRDefault="00DC6978" w:rsidP="00E16BE6">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
          <w:bCs/>
          <w:u w:val="single"/>
        </w:rPr>
      </w:pPr>
      <w:r w:rsidRPr="00DC6978">
        <w:rPr>
          <w:rFonts w:asciiTheme="minorHAnsi" w:hAnsiTheme="minorHAnsi" w:cstheme="minorHAnsi"/>
          <w:bCs/>
        </w:rPr>
        <w:t xml:space="preserve">Capital </w:t>
      </w:r>
      <w:r w:rsidR="000554D4">
        <w:rPr>
          <w:rFonts w:asciiTheme="minorHAnsi" w:hAnsiTheme="minorHAnsi" w:cstheme="minorHAnsi"/>
          <w:bCs/>
        </w:rPr>
        <w:t>e</w:t>
      </w:r>
      <w:r w:rsidRPr="00DC6978">
        <w:rPr>
          <w:rFonts w:asciiTheme="minorHAnsi" w:hAnsiTheme="minorHAnsi" w:cstheme="minorHAnsi"/>
          <w:bCs/>
        </w:rPr>
        <w:t>quipment costs must be incorporated through depreciation, and the acquisition cost cannot be contained in the billing rate.</w:t>
      </w:r>
    </w:p>
    <w:p w14:paraId="29181FB9" w14:textId="205DA8FE" w:rsidR="00457D5E" w:rsidRPr="000554D4" w:rsidRDefault="00DC6978" w:rsidP="00E16BE6">
      <w:pPr>
        <w:numPr>
          <w:ilvl w:val="0"/>
          <w:numId w:val="9"/>
        </w:numPr>
        <w:autoSpaceDE w:val="0"/>
        <w:autoSpaceDN w:val="0"/>
        <w:adjustRightInd w:val="0"/>
        <w:spacing w:after="240" w:line="240" w:lineRule="auto"/>
        <w:jc w:val="both"/>
        <w:rPr>
          <w:rFonts w:asciiTheme="minorHAnsi" w:hAnsiTheme="minorHAnsi" w:cstheme="minorHAnsi"/>
        </w:rPr>
      </w:pPr>
      <w:r w:rsidRPr="00DA30AD">
        <w:rPr>
          <w:rFonts w:asciiTheme="minorHAnsi" w:hAnsiTheme="minorHAnsi" w:cstheme="minorHAnsi"/>
          <w:b/>
          <w:bCs/>
          <w:u w:val="single"/>
        </w:rPr>
        <w:t>Procedures</w:t>
      </w:r>
    </w:p>
    <w:p w14:paraId="2E9957E3" w14:textId="7FD081D6" w:rsidR="00DC6978" w:rsidRPr="00E16BE6" w:rsidRDefault="000554D4" w:rsidP="00E16BE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DC6978" w:rsidRPr="00DC6978">
        <w:rPr>
          <w:rFonts w:asciiTheme="minorHAnsi" w:hAnsiTheme="minorHAnsi" w:cstheme="minorHAnsi"/>
          <w:bCs/>
        </w:rPr>
        <w:t xml:space="preserve">he selling department shall prepare an interdepartmental </w:t>
      </w:r>
      <w:r>
        <w:rPr>
          <w:rFonts w:asciiTheme="minorHAnsi" w:hAnsiTheme="minorHAnsi" w:cstheme="minorHAnsi"/>
          <w:bCs/>
        </w:rPr>
        <w:t>invoice</w:t>
      </w:r>
      <w:r w:rsidR="00DC6978" w:rsidRPr="00DC6978">
        <w:rPr>
          <w:rFonts w:asciiTheme="minorHAnsi" w:hAnsiTheme="minorHAnsi" w:cstheme="minorHAnsi"/>
          <w:bCs/>
        </w:rPr>
        <w:t xml:space="preserve"> using a form provided by the Clerk/Auditor’s Office.</w:t>
      </w:r>
    </w:p>
    <w:p w14:paraId="21D0B83F" w14:textId="7C508F3D" w:rsidR="00DC6978" w:rsidRPr="00E16BE6" w:rsidRDefault="00DC6978" w:rsidP="00E16BE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The interdepartmental </w:t>
      </w:r>
      <w:r w:rsidR="000554D4">
        <w:rPr>
          <w:rFonts w:asciiTheme="minorHAnsi" w:hAnsiTheme="minorHAnsi" w:cstheme="minorHAnsi"/>
          <w:bCs/>
        </w:rPr>
        <w:t>invoice</w:t>
      </w:r>
      <w:r w:rsidRPr="00DC6978">
        <w:rPr>
          <w:rFonts w:asciiTheme="minorHAnsi" w:hAnsiTheme="minorHAnsi" w:cstheme="minorHAnsi"/>
          <w:bCs/>
        </w:rPr>
        <w:t xml:space="preserve"> shall list the nature of the goods or services provided, the date the goods or services were provided, and the amount being charged.</w:t>
      </w:r>
    </w:p>
    <w:p w14:paraId="7FA6F618" w14:textId="6EDD4600" w:rsidR="00DC6978" w:rsidRPr="00E16BE6" w:rsidRDefault="00DC6978" w:rsidP="00E16BE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The </w:t>
      </w:r>
      <w:r w:rsidR="000554D4">
        <w:rPr>
          <w:rFonts w:asciiTheme="minorHAnsi" w:hAnsiTheme="minorHAnsi" w:cstheme="minorHAnsi"/>
          <w:bCs/>
        </w:rPr>
        <w:t>s</w:t>
      </w:r>
      <w:r w:rsidRPr="00DC6978">
        <w:rPr>
          <w:rFonts w:asciiTheme="minorHAnsi" w:hAnsiTheme="minorHAnsi" w:cstheme="minorHAnsi"/>
          <w:bCs/>
        </w:rPr>
        <w:t xml:space="preserve">elling </w:t>
      </w:r>
      <w:r w:rsidR="000554D4">
        <w:rPr>
          <w:rFonts w:asciiTheme="minorHAnsi" w:hAnsiTheme="minorHAnsi" w:cstheme="minorHAnsi"/>
          <w:bCs/>
        </w:rPr>
        <w:t>d</w:t>
      </w:r>
      <w:r w:rsidRPr="00DC6978">
        <w:rPr>
          <w:rFonts w:asciiTheme="minorHAnsi" w:hAnsiTheme="minorHAnsi" w:cstheme="minorHAnsi"/>
          <w:bCs/>
        </w:rPr>
        <w:t xml:space="preserve">epartment shall forward the interdepartmental invoice to the </w:t>
      </w:r>
      <w:r w:rsidR="000554D4">
        <w:rPr>
          <w:rFonts w:asciiTheme="minorHAnsi" w:hAnsiTheme="minorHAnsi" w:cstheme="minorHAnsi"/>
          <w:bCs/>
        </w:rPr>
        <w:t>r</w:t>
      </w:r>
      <w:r w:rsidRPr="00DC6978">
        <w:rPr>
          <w:rFonts w:asciiTheme="minorHAnsi" w:hAnsiTheme="minorHAnsi" w:cstheme="minorHAnsi"/>
          <w:bCs/>
        </w:rPr>
        <w:t xml:space="preserve">eceiving </w:t>
      </w:r>
      <w:r w:rsidR="000554D4">
        <w:rPr>
          <w:rFonts w:asciiTheme="minorHAnsi" w:hAnsiTheme="minorHAnsi" w:cstheme="minorHAnsi"/>
          <w:bCs/>
        </w:rPr>
        <w:t>d</w:t>
      </w:r>
      <w:r w:rsidRPr="00DC6978">
        <w:rPr>
          <w:rFonts w:asciiTheme="minorHAnsi" w:hAnsiTheme="minorHAnsi" w:cstheme="minorHAnsi"/>
          <w:bCs/>
        </w:rPr>
        <w:t xml:space="preserve">epartment for their review and approval. The </w:t>
      </w:r>
      <w:r w:rsidR="000554D4">
        <w:rPr>
          <w:rFonts w:asciiTheme="minorHAnsi" w:hAnsiTheme="minorHAnsi" w:cstheme="minorHAnsi"/>
          <w:bCs/>
        </w:rPr>
        <w:t>r</w:t>
      </w:r>
      <w:r w:rsidRPr="00DC6978">
        <w:rPr>
          <w:rFonts w:asciiTheme="minorHAnsi" w:hAnsiTheme="minorHAnsi" w:cstheme="minorHAnsi"/>
          <w:bCs/>
        </w:rPr>
        <w:t xml:space="preserve">eceiving </w:t>
      </w:r>
      <w:r w:rsidR="000554D4">
        <w:rPr>
          <w:rFonts w:asciiTheme="minorHAnsi" w:hAnsiTheme="minorHAnsi" w:cstheme="minorHAnsi"/>
          <w:bCs/>
        </w:rPr>
        <w:t>d</w:t>
      </w:r>
      <w:r w:rsidRPr="00DC6978">
        <w:rPr>
          <w:rFonts w:asciiTheme="minorHAnsi" w:hAnsiTheme="minorHAnsi" w:cstheme="minorHAnsi"/>
          <w:bCs/>
        </w:rPr>
        <w:t>epartment shall then forward the interdepartmental invoice to the accounting group in the Clerk/Auditor’s Office for processing.</w:t>
      </w:r>
    </w:p>
    <w:p w14:paraId="2B9E3E3E" w14:textId="39D3716D" w:rsidR="00DC6978" w:rsidRPr="00E16BE6" w:rsidRDefault="00DC6978" w:rsidP="00E16BE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Internal billing transactions should be processed as soon as possible after the goods or services have been provided. All internal billing must be processed within 20 days after the end of each calendar quarter.</w:t>
      </w:r>
    </w:p>
    <w:p w14:paraId="7F155514" w14:textId="64577E69" w:rsidR="00DC6978" w:rsidRDefault="00DC6978" w:rsidP="00E16BE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DC6978">
        <w:rPr>
          <w:rFonts w:asciiTheme="minorHAnsi" w:hAnsiTheme="minorHAnsi" w:cstheme="minorHAnsi"/>
          <w:bCs/>
        </w:rPr>
        <w:t xml:space="preserve">Central </w:t>
      </w:r>
      <w:r w:rsidR="000554D4">
        <w:rPr>
          <w:rFonts w:asciiTheme="minorHAnsi" w:hAnsiTheme="minorHAnsi" w:cstheme="minorHAnsi"/>
          <w:bCs/>
        </w:rPr>
        <w:t>s</w:t>
      </w:r>
      <w:r w:rsidRPr="00DC6978">
        <w:rPr>
          <w:rFonts w:asciiTheme="minorHAnsi" w:hAnsiTheme="minorHAnsi" w:cstheme="minorHAnsi"/>
          <w:bCs/>
        </w:rPr>
        <w:t xml:space="preserve">ervice </w:t>
      </w:r>
      <w:r w:rsidR="000554D4">
        <w:rPr>
          <w:rFonts w:asciiTheme="minorHAnsi" w:hAnsiTheme="minorHAnsi" w:cstheme="minorHAnsi"/>
          <w:bCs/>
        </w:rPr>
        <w:t>c</w:t>
      </w:r>
      <w:r w:rsidRPr="00DC6978">
        <w:rPr>
          <w:rFonts w:asciiTheme="minorHAnsi" w:hAnsiTheme="minorHAnsi" w:cstheme="minorHAnsi"/>
          <w:bCs/>
        </w:rPr>
        <w:t xml:space="preserve">osts are not directly charged to </w:t>
      </w:r>
      <w:r w:rsidR="000554D4">
        <w:rPr>
          <w:rFonts w:asciiTheme="minorHAnsi" w:hAnsiTheme="minorHAnsi" w:cstheme="minorHAnsi"/>
          <w:bCs/>
        </w:rPr>
        <w:t>d</w:t>
      </w:r>
      <w:r w:rsidRPr="00DC6978">
        <w:rPr>
          <w:rFonts w:asciiTheme="minorHAnsi" w:hAnsiTheme="minorHAnsi" w:cstheme="minorHAnsi"/>
          <w:bCs/>
        </w:rPr>
        <w:t xml:space="preserve">epartments through interdepartmental </w:t>
      </w:r>
      <w:r w:rsidR="000554D4">
        <w:rPr>
          <w:rFonts w:asciiTheme="minorHAnsi" w:hAnsiTheme="minorHAnsi" w:cstheme="minorHAnsi"/>
          <w:bCs/>
        </w:rPr>
        <w:t>invoices</w:t>
      </w:r>
      <w:r w:rsidRPr="00DC6978">
        <w:rPr>
          <w:rFonts w:asciiTheme="minorHAnsi" w:hAnsiTheme="minorHAnsi" w:cstheme="minorHAnsi"/>
          <w:bCs/>
        </w:rPr>
        <w:t xml:space="preserve">, but instead are allocated to the appropriate fund through </w:t>
      </w:r>
      <w:r w:rsidR="000554D4">
        <w:rPr>
          <w:rFonts w:asciiTheme="minorHAnsi" w:hAnsiTheme="minorHAnsi" w:cstheme="minorHAnsi"/>
          <w:bCs/>
        </w:rPr>
        <w:t>C</w:t>
      </w:r>
      <w:r w:rsidRPr="00DC6978">
        <w:rPr>
          <w:rFonts w:asciiTheme="minorHAnsi" w:hAnsiTheme="minorHAnsi" w:cstheme="minorHAnsi"/>
          <w:bCs/>
        </w:rPr>
        <w:t>ounty</w:t>
      </w:r>
      <w:r w:rsidR="000554D4">
        <w:rPr>
          <w:rFonts w:asciiTheme="minorHAnsi" w:hAnsiTheme="minorHAnsi" w:cstheme="minorHAnsi"/>
          <w:bCs/>
        </w:rPr>
        <w:t>-</w:t>
      </w:r>
      <w:r w:rsidRPr="00DC6978">
        <w:rPr>
          <w:rFonts w:asciiTheme="minorHAnsi" w:hAnsiTheme="minorHAnsi" w:cstheme="minorHAnsi"/>
          <w:bCs/>
        </w:rPr>
        <w:t>wide cost allocation</w:t>
      </w:r>
      <w:r w:rsidR="000554D4">
        <w:rPr>
          <w:rFonts w:asciiTheme="minorHAnsi" w:hAnsiTheme="minorHAnsi" w:cstheme="minorHAnsi"/>
          <w:bCs/>
        </w:rPr>
        <w:t>.</w:t>
      </w:r>
    </w:p>
    <w:p w14:paraId="77FC9FED" w14:textId="43012510" w:rsidR="00DC6978" w:rsidRDefault="00DC6978">
      <w:pPr>
        <w:spacing w:after="0" w:line="240" w:lineRule="auto"/>
        <w:rPr>
          <w:sz w:val="20"/>
          <w:szCs w:val="20"/>
        </w:rPr>
      </w:pPr>
      <w:r>
        <w:rPr>
          <w:sz w:val="20"/>
          <w:szCs w:val="20"/>
        </w:rPr>
        <w:br w:type="page"/>
      </w:r>
    </w:p>
    <w:p w14:paraId="1DF7BC0B" w14:textId="77777777" w:rsidR="00854F01" w:rsidRDefault="00854F01">
      <w:pPr>
        <w:spacing w:after="0" w:line="240" w:lineRule="auto"/>
        <w:rPr>
          <w:sz w:val="20"/>
          <w:szCs w:val="20"/>
        </w:rPr>
      </w:pPr>
    </w:p>
    <w:p w14:paraId="66D0418A" w14:textId="77777777" w:rsidR="004921B5" w:rsidRDefault="004921B5" w:rsidP="00E268F2">
      <w:pPr>
        <w:pStyle w:val="ListParagraph"/>
        <w:autoSpaceDE w:val="0"/>
        <w:autoSpaceDN w:val="0"/>
        <w:adjustRightInd w:val="0"/>
        <w:spacing w:after="0" w:line="240" w:lineRule="auto"/>
        <w:ind w:left="0"/>
        <w:rPr>
          <w:sz w:val="20"/>
          <w:szCs w:val="20"/>
        </w:rPr>
      </w:pPr>
    </w:p>
    <w:p w14:paraId="4388DC04" w14:textId="0B996C19" w:rsidR="00E268F2" w:rsidRPr="00E16BE6" w:rsidRDefault="00E268F2" w:rsidP="00E268F2">
      <w:pPr>
        <w:pStyle w:val="ListParagraph"/>
        <w:autoSpaceDE w:val="0"/>
        <w:autoSpaceDN w:val="0"/>
        <w:adjustRightInd w:val="0"/>
        <w:spacing w:after="0" w:line="240" w:lineRule="auto"/>
        <w:ind w:left="0"/>
      </w:pPr>
      <w:r w:rsidRPr="00E16BE6">
        <w:t xml:space="preserve">DATED this </w:t>
      </w:r>
      <w:r w:rsidRPr="00E16BE6">
        <w:rPr>
          <w:u w:val="single"/>
        </w:rPr>
        <w:tab/>
      </w:r>
      <w:r w:rsidRPr="00E16BE6">
        <w:rPr>
          <w:u w:val="single"/>
        </w:rPr>
        <w:tab/>
      </w:r>
      <w:r w:rsidRPr="00E16BE6">
        <w:t xml:space="preserve"> day of </w:t>
      </w:r>
      <w:r w:rsidRPr="00E16BE6">
        <w:rPr>
          <w:u w:val="single"/>
        </w:rPr>
        <w:tab/>
      </w:r>
      <w:r w:rsidRPr="00E16BE6">
        <w:rPr>
          <w:u w:val="single"/>
        </w:rPr>
        <w:tab/>
      </w:r>
      <w:r w:rsidRPr="00E16BE6">
        <w:rPr>
          <w:u w:val="single"/>
        </w:rPr>
        <w:tab/>
      </w:r>
      <w:r w:rsidRPr="00E16BE6">
        <w:rPr>
          <w:u w:val="single"/>
        </w:rPr>
        <w:tab/>
      </w:r>
      <w:r w:rsidRPr="00E16BE6">
        <w:t>, 20</w:t>
      </w:r>
      <w:r w:rsidR="002744DE" w:rsidRPr="00E16BE6">
        <w:t>2</w:t>
      </w:r>
      <w:r w:rsidR="00790849">
        <w:t>2</w:t>
      </w:r>
      <w:r w:rsidRPr="00E16BE6">
        <w:t xml:space="preserve">. </w:t>
      </w:r>
    </w:p>
    <w:p w14:paraId="746D6E0D" w14:textId="77777777" w:rsidR="00E268F2" w:rsidRPr="00E16BE6" w:rsidRDefault="00E268F2" w:rsidP="00E268F2">
      <w:pPr>
        <w:pStyle w:val="ListParagraph"/>
        <w:autoSpaceDE w:val="0"/>
        <w:autoSpaceDN w:val="0"/>
        <w:adjustRightInd w:val="0"/>
        <w:spacing w:after="0" w:line="240" w:lineRule="auto"/>
        <w:ind w:left="0"/>
      </w:pPr>
    </w:p>
    <w:p w14:paraId="2523D871" w14:textId="77777777" w:rsidR="00E268F2" w:rsidRPr="00E16BE6" w:rsidRDefault="00E268F2" w:rsidP="00E268F2">
      <w:pPr>
        <w:autoSpaceDE w:val="0"/>
        <w:autoSpaceDN w:val="0"/>
        <w:adjustRightInd w:val="0"/>
        <w:spacing w:after="0" w:line="240" w:lineRule="auto"/>
        <w:ind w:left="5760"/>
      </w:pPr>
      <w:r w:rsidRPr="00E16BE6">
        <w:t>BOARD OF COUNTY COMMISSIONERS OF WEBER COUNTY:</w:t>
      </w:r>
    </w:p>
    <w:p w14:paraId="6B333A4B" w14:textId="77777777" w:rsidR="00E268F2" w:rsidRPr="00E16BE6" w:rsidRDefault="00E268F2" w:rsidP="00E268F2">
      <w:pPr>
        <w:pStyle w:val="ListParagraph"/>
        <w:autoSpaceDE w:val="0"/>
        <w:autoSpaceDN w:val="0"/>
        <w:adjustRightInd w:val="0"/>
        <w:spacing w:after="0" w:line="240" w:lineRule="auto"/>
        <w:ind w:left="5760" w:firstLine="720"/>
      </w:pPr>
    </w:p>
    <w:p w14:paraId="275047E2" w14:textId="06676D9D" w:rsidR="00E268F2" w:rsidRPr="00E16BE6" w:rsidRDefault="00E268F2" w:rsidP="00E268F2">
      <w:pPr>
        <w:autoSpaceDE w:val="0"/>
        <w:autoSpaceDN w:val="0"/>
        <w:adjustRightInd w:val="0"/>
        <w:spacing w:after="0" w:line="240" w:lineRule="auto"/>
      </w:pPr>
      <w:r w:rsidRPr="00E16BE6">
        <w:tab/>
      </w:r>
      <w:r w:rsidRPr="00E16BE6">
        <w:tab/>
      </w:r>
      <w:r w:rsidRPr="00E16BE6">
        <w:tab/>
      </w:r>
      <w:r w:rsidRPr="00E16BE6">
        <w:tab/>
      </w:r>
      <w:r w:rsidRPr="00E16BE6">
        <w:tab/>
      </w:r>
      <w:r w:rsidRPr="00E16BE6">
        <w:tab/>
      </w:r>
      <w:r w:rsidRPr="00E16BE6">
        <w:tab/>
      </w:r>
      <w:r w:rsidRPr="00E16BE6">
        <w:tab/>
      </w:r>
      <w:r w:rsidRPr="00E16BE6">
        <w:rPr>
          <w:u w:val="single"/>
        </w:rPr>
        <w:tab/>
      </w:r>
      <w:r w:rsidRPr="00E16BE6">
        <w:rPr>
          <w:u w:val="single"/>
        </w:rPr>
        <w:tab/>
      </w:r>
      <w:r w:rsidRPr="00E16BE6">
        <w:rPr>
          <w:u w:val="single"/>
        </w:rPr>
        <w:tab/>
      </w:r>
      <w:r w:rsidRPr="00E16BE6">
        <w:rPr>
          <w:u w:val="single"/>
        </w:rPr>
        <w:tab/>
      </w:r>
      <w:r w:rsidRPr="00E16BE6">
        <w:rPr>
          <w:u w:val="single"/>
        </w:rPr>
        <w:tab/>
      </w:r>
      <w:r w:rsidRPr="00E16BE6">
        <w:tab/>
      </w:r>
      <w:r w:rsidRPr="00E16BE6">
        <w:tab/>
      </w:r>
      <w:r w:rsidRPr="00E16BE6">
        <w:tab/>
      </w:r>
      <w:r w:rsidRPr="00E16BE6">
        <w:tab/>
      </w:r>
      <w:r w:rsidRPr="00E16BE6">
        <w:tab/>
      </w:r>
      <w:r w:rsidRPr="00E16BE6">
        <w:tab/>
      </w:r>
      <w:r w:rsidRPr="00E16BE6">
        <w:tab/>
      </w:r>
      <w:r w:rsidRPr="00E16BE6">
        <w:tab/>
      </w:r>
      <w:r w:rsidR="00790849">
        <w:t>Scott</w:t>
      </w:r>
      <w:r w:rsidR="00E16BE6">
        <w:t xml:space="preserve"> K</w:t>
      </w:r>
      <w:bookmarkStart w:id="0" w:name="_GoBack"/>
      <w:bookmarkEnd w:id="0"/>
      <w:r w:rsidR="00E16BE6">
        <w:t>.</w:t>
      </w:r>
      <w:r w:rsidR="00790849">
        <w:t xml:space="preserve"> Jenkins</w:t>
      </w:r>
      <w:r w:rsidRPr="00E16BE6">
        <w:t>, Chair</w:t>
      </w:r>
    </w:p>
    <w:p w14:paraId="0295CDF5" w14:textId="77777777" w:rsidR="00E268F2" w:rsidRPr="00E16BE6" w:rsidRDefault="00E268F2" w:rsidP="00E268F2">
      <w:pPr>
        <w:autoSpaceDE w:val="0"/>
        <w:autoSpaceDN w:val="0"/>
        <w:adjustRightInd w:val="0"/>
        <w:spacing w:after="0" w:line="240" w:lineRule="auto"/>
      </w:pPr>
      <w:r w:rsidRPr="00E16BE6">
        <w:t xml:space="preserve">ATTEST: </w:t>
      </w:r>
    </w:p>
    <w:p w14:paraId="480AD026" w14:textId="77777777" w:rsidR="00E268F2" w:rsidRPr="00E16BE6" w:rsidRDefault="00E268F2" w:rsidP="00E268F2">
      <w:pPr>
        <w:autoSpaceDE w:val="0"/>
        <w:autoSpaceDN w:val="0"/>
        <w:adjustRightInd w:val="0"/>
        <w:spacing w:after="0" w:line="240" w:lineRule="auto"/>
      </w:pPr>
    </w:p>
    <w:p w14:paraId="61E018B9" w14:textId="77777777" w:rsidR="00E268F2" w:rsidRPr="00E16BE6" w:rsidRDefault="00E268F2" w:rsidP="00E268F2">
      <w:pPr>
        <w:autoSpaceDE w:val="0"/>
        <w:autoSpaceDN w:val="0"/>
        <w:adjustRightInd w:val="0"/>
        <w:spacing w:after="0" w:line="240" w:lineRule="auto"/>
        <w:rPr>
          <w:u w:val="single"/>
        </w:rPr>
      </w:pPr>
      <w:r w:rsidRPr="00E16BE6">
        <w:rPr>
          <w:u w:val="single"/>
        </w:rPr>
        <w:tab/>
      </w:r>
      <w:r w:rsidRPr="00E16BE6">
        <w:rPr>
          <w:u w:val="single"/>
        </w:rPr>
        <w:tab/>
      </w:r>
      <w:r w:rsidRPr="00E16BE6">
        <w:rPr>
          <w:u w:val="single"/>
        </w:rPr>
        <w:tab/>
      </w:r>
      <w:r w:rsidRPr="00E16BE6">
        <w:rPr>
          <w:u w:val="single"/>
        </w:rPr>
        <w:tab/>
      </w:r>
      <w:r w:rsidRPr="00E16BE6">
        <w:rPr>
          <w:u w:val="single"/>
        </w:rPr>
        <w:tab/>
      </w:r>
    </w:p>
    <w:p w14:paraId="6D2156A8" w14:textId="77777777" w:rsidR="00E268F2" w:rsidRPr="00E16BE6" w:rsidRDefault="00E268F2" w:rsidP="00E268F2">
      <w:pPr>
        <w:autoSpaceDE w:val="0"/>
        <w:autoSpaceDN w:val="0"/>
        <w:adjustRightInd w:val="0"/>
        <w:spacing w:after="0" w:line="240" w:lineRule="auto"/>
      </w:pPr>
      <w:r w:rsidRPr="00E16BE6">
        <w:t>Ricky Hatch, CPA</w:t>
      </w:r>
    </w:p>
    <w:p w14:paraId="330668FD" w14:textId="77777777" w:rsidR="00E268F2" w:rsidRPr="00E16BE6" w:rsidRDefault="00E268F2" w:rsidP="00E268F2">
      <w:pPr>
        <w:autoSpaceDE w:val="0"/>
        <w:autoSpaceDN w:val="0"/>
        <w:adjustRightInd w:val="0"/>
        <w:spacing w:after="0" w:line="240" w:lineRule="auto"/>
      </w:pPr>
      <w:r w:rsidRPr="00E16BE6">
        <w:t>Weber County Clerk/Auditor</w:t>
      </w:r>
    </w:p>
    <w:p w14:paraId="17F6726D" w14:textId="77777777" w:rsidR="00E268F2" w:rsidRPr="00E16BE6" w:rsidRDefault="00E268F2" w:rsidP="00E268F2">
      <w:pPr>
        <w:autoSpaceDE w:val="0"/>
        <w:autoSpaceDN w:val="0"/>
        <w:adjustRightInd w:val="0"/>
        <w:spacing w:after="0" w:line="240" w:lineRule="auto"/>
      </w:pPr>
    </w:p>
    <w:p w14:paraId="64908222" w14:textId="77777777" w:rsidR="00E268F2" w:rsidRPr="00E16BE6" w:rsidRDefault="00E268F2" w:rsidP="00E268F2">
      <w:pPr>
        <w:autoSpaceDE w:val="0"/>
        <w:autoSpaceDN w:val="0"/>
        <w:adjustRightInd w:val="0"/>
        <w:spacing w:after="0" w:line="240" w:lineRule="auto"/>
      </w:pPr>
    </w:p>
    <w:p w14:paraId="40B7FF61" w14:textId="77777777" w:rsidR="00E268F2" w:rsidRPr="00E16BE6" w:rsidRDefault="00E268F2" w:rsidP="00E268F2">
      <w:pPr>
        <w:autoSpaceDE w:val="0"/>
        <w:autoSpaceDN w:val="0"/>
        <w:adjustRightInd w:val="0"/>
        <w:spacing w:after="0" w:line="240" w:lineRule="auto"/>
      </w:pPr>
    </w:p>
    <w:p w14:paraId="6DCCF9C9" w14:textId="77777777" w:rsidR="00E268F2" w:rsidRPr="00E16BE6" w:rsidRDefault="00E268F2" w:rsidP="00E268F2">
      <w:pPr>
        <w:autoSpaceDE w:val="0"/>
        <w:autoSpaceDN w:val="0"/>
        <w:adjustRightInd w:val="0"/>
        <w:spacing w:after="0" w:line="240" w:lineRule="auto"/>
      </w:pPr>
      <w:r w:rsidRPr="00E16BE6">
        <w:t xml:space="preserve">Approved as to form and legality: </w:t>
      </w:r>
    </w:p>
    <w:p w14:paraId="6B979425" w14:textId="77777777" w:rsidR="00E268F2" w:rsidRPr="00E16BE6" w:rsidRDefault="00E268F2" w:rsidP="00E268F2">
      <w:pPr>
        <w:autoSpaceDE w:val="0"/>
        <w:autoSpaceDN w:val="0"/>
        <w:adjustRightInd w:val="0"/>
        <w:spacing w:after="0" w:line="240" w:lineRule="auto"/>
      </w:pPr>
    </w:p>
    <w:p w14:paraId="311B40A9" w14:textId="77777777" w:rsidR="00E268F2" w:rsidRPr="00E16BE6" w:rsidRDefault="00E268F2" w:rsidP="00E268F2">
      <w:pPr>
        <w:autoSpaceDE w:val="0"/>
        <w:autoSpaceDN w:val="0"/>
        <w:adjustRightInd w:val="0"/>
        <w:spacing w:after="0" w:line="240" w:lineRule="auto"/>
      </w:pPr>
    </w:p>
    <w:p w14:paraId="7D8C588D" w14:textId="77777777" w:rsidR="00E268F2" w:rsidRPr="00E16BE6" w:rsidRDefault="00E268F2" w:rsidP="00E268F2">
      <w:pPr>
        <w:autoSpaceDE w:val="0"/>
        <w:autoSpaceDN w:val="0"/>
        <w:adjustRightInd w:val="0"/>
        <w:spacing w:after="0" w:line="240" w:lineRule="auto"/>
        <w:rPr>
          <w:u w:val="single"/>
        </w:rPr>
      </w:pPr>
      <w:r w:rsidRPr="00E16BE6">
        <w:rPr>
          <w:u w:val="single"/>
        </w:rPr>
        <w:tab/>
      </w:r>
      <w:r w:rsidRPr="00E16BE6">
        <w:rPr>
          <w:u w:val="single"/>
        </w:rPr>
        <w:tab/>
      </w:r>
      <w:r w:rsidRPr="00E16BE6">
        <w:rPr>
          <w:u w:val="single"/>
        </w:rPr>
        <w:tab/>
      </w:r>
      <w:r w:rsidRPr="00E16BE6">
        <w:rPr>
          <w:u w:val="single"/>
        </w:rPr>
        <w:tab/>
      </w:r>
      <w:r w:rsidRPr="00E16BE6">
        <w:rPr>
          <w:u w:val="single"/>
        </w:rPr>
        <w:tab/>
      </w:r>
    </w:p>
    <w:p w14:paraId="6237FF04" w14:textId="181CB4F6" w:rsidR="00E268F2" w:rsidRPr="00E16BE6" w:rsidRDefault="00E268F2" w:rsidP="007F2DB6">
      <w:pPr>
        <w:autoSpaceDE w:val="0"/>
        <w:autoSpaceDN w:val="0"/>
        <w:adjustRightInd w:val="0"/>
        <w:spacing w:after="0" w:line="240" w:lineRule="auto"/>
      </w:pPr>
      <w:r w:rsidRPr="00E16BE6">
        <w:t>Deputy County Attorney</w:t>
      </w:r>
    </w:p>
    <w:sectPr w:rsidR="00E268F2" w:rsidRPr="00E16BE6"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6EDCD" w14:textId="77777777" w:rsidR="00564888" w:rsidRDefault="00564888" w:rsidP="00900452">
      <w:pPr>
        <w:spacing w:after="0" w:line="240" w:lineRule="auto"/>
      </w:pPr>
      <w:r>
        <w:separator/>
      </w:r>
    </w:p>
  </w:endnote>
  <w:endnote w:type="continuationSeparator" w:id="0">
    <w:p w14:paraId="2DAD0BCC" w14:textId="77777777" w:rsidR="00564888" w:rsidRDefault="00564888"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F08455F" w14:textId="0D4F06AF"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060DFE">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060DFE">
              <w:rPr>
                <w:bCs/>
                <w:noProof/>
              </w:rPr>
              <w:t>3</w:t>
            </w:r>
            <w:r w:rsidRPr="00F317DF">
              <w:rPr>
                <w:bCs/>
                <w:sz w:val="24"/>
                <w:szCs w:val="24"/>
              </w:rPr>
              <w:fldChar w:fldCharType="end"/>
            </w:r>
          </w:p>
        </w:sdtContent>
      </w:sdt>
    </w:sdtContent>
  </w:sdt>
  <w:p w14:paraId="7B5A56B4"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2B73156" w14:textId="1F2A165E"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060DFE">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060DFE">
              <w:rPr>
                <w:bCs/>
                <w:noProof/>
              </w:rPr>
              <w:t>3</w:t>
            </w:r>
            <w:r w:rsidRPr="00FD7AC1">
              <w:rPr>
                <w:bCs/>
                <w:sz w:val="24"/>
                <w:szCs w:val="24"/>
              </w:rPr>
              <w:fldChar w:fldCharType="end"/>
            </w:r>
          </w:p>
        </w:sdtContent>
      </w:sdt>
    </w:sdtContent>
  </w:sdt>
  <w:p w14:paraId="18EC5AE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F9B1" w14:textId="77777777" w:rsidR="00564888" w:rsidRDefault="00564888" w:rsidP="00900452">
      <w:pPr>
        <w:spacing w:after="0" w:line="240" w:lineRule="auto"/>
      </w:pPr>
      <w:r>
        <w:separator/>
      </w:r>
    </w:p>
  </w:footnote>
  <w:footnote w:type="continuationSeparator" w:id="0">
    <w:p w14:paraId="26D83C89" w14:textId="77777777" w:rsidR="00564888" w:rsidRDefault="00564888"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7048" w14:textId="56EFF09E"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4CE1E816"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DC6978">
      <w:rPr>
        <w:rFonts w:ascii="Arial Black" w:hAnsi="Arial Black"/>
        <w:b/>
        <w:sz w:val="24"/>
        <w:szCs w:val="24"/>
      </w:rPr>
      <w:t>10</w:t>
    </w:r>
    <w:r w:rsidR="0034185D">
      <w:rPr>
        <w:rFonts w:ascii="Arial Black" w:hAnsi="Arial Black"/>
        <w:b/>
        <w:sz w:val="24"/>
        <w:szCs w:val="24"/>
      </w:rPr>
      <w:t>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14:paraId="17792A83" w14:textId="183AE275"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446CFC5" w14:textId="77777777" w:rsidTr="00C05733">
      <w:trPr>
        <w:cantSplit/>
        <w:trHeight w:val="1425"/>
      </w:trPr>
      <w:tc>
        <w:tcPr>
          <w:tcW w:w="5765" w:type="dxa"/>
          <w:tcBorders>
            <w:top w:val="single" w:sz="6" w:space="0" w:color="FFFFFF"/>
            <w:left w:val="single" w:sz="6" w:space="0" w:color="FFFFFF"/>
            <w:right w:val="single" w:sz="6" w:space="0" w:color="FFFFFF"/>
          </w:tcBorders>
        </w:tcPr>
        <w:p w14:paraId="1AA92F63"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4201F" w14:textId="524A2080"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DC6978">
                                  <w:rPr>
                                    <w:rFonts w:ascii="Arial Black" w:hAnsi="Arial Black" w:cs="Arial"/>
                                    <w:b/>
                                    <w:sz w:val="28"/>
                                    <w:szCs w:val="28"/>
                                  </w:rPr>
                                  <w:t>10</w:t>
                                </w:r>
                                <w:r w:rsidR="0034185D">
                                  <w:rPr>
                                    <w:rFonts w:ascii="Arial Black" w:hAnsi="Arial Black" w:cs="Arial"/>
                                    <w:b/>
                                    <w:sz w:val="28"/>
                                    <w:szCs w:val="28"/>
                                  </w:rPr>
                                  <w:t>00</w:t>
                                </w:r>
                              </w:p>
                              <w:p w14:paraId="1C9F6FBA" w14:textId="1EB1ABF7" w:rsidR="006D6BA5" w:rsidRPr="007432E4" w:rsidRDefault="007F5178" w:rsidP="007432E4">
                                <w:pPr>
                                  <w:spacing w:after="0" w:line="240" w:lineRule="auto"/>
                                  <w:jc w:val="center"/>
                                  <w:rPr>
                                    <w:rFonts w:ascii="Arial Black" w:hAnsi="Arial Black" w:cs="Arial"/>
                                    <w:b/>
                                    <w:sz w:val="28"/>
                                    <w:szCs w:val="28"/>
                                  </w:rPr>
                                </w:pPr>
                                <w:r>
                                  <w:rPr>
                                    <w:rFonts w:ascii="Arial Black" w:hAnsi="Arial Black" w:cs="Arial"/>
                                    <w:b/>
                                    <w:sz w:val="28"/>
                                    <w:szCs w:val="28"/>
                                  </w:rPr>
                                  <w:t>Interdepartmental Transactions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1FF4201F" w14:textId="524A2080"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DC6978">
                            <w:rPr>
                              <w:rFonts w:ascii="Arial Black" w:hAnsi="Arial Black" w:cs="Arial"/>
                              <w:b/>
                              <w:sz w:val="28"/>
                              <w:szCs w:val="28"/>
                            </w:rPr>
                            <w:t>10</w:t>
                          </w:r>
                          <w:r w:rsidR="0034185D">
                            <w:rPr>
                              <w:rFonts w:ascii="Arial Black" w:hAnsi="Arial Black" w:cs="Arial"/>
                              <w:b/>
                              <w:sz w:val="28"/>
                              <w:szCs w:val="28"/>
                            </w:rPr>
                            <w:t>00</w:t>
                          </w:r>
                        </w:p>
                        <w:p w14:paraId="1C9F6FBA" w14:textId="1EB1ABF7" w:rsidR="006D6BA5" w:rsidRPr="007432E4" w:rsidRDefault="007F5178" w:rsidP="007432E4">
                          <w:pPr>
                            <w:spacing w:after="0" w:line="240" w:lineRule="auto"/>
                            <w:jc w:val="center"/>
                            <w:rPr>
                              <w:rFonts w:ascii="Arial Black" w:hAnsi="Arial Black" w:cs="Arial"/>
                              <w:b/>
                              <w:sz w:val="28"/>
                              <w:szCs w:val="28"/>
                            </w:rPr>
                          </w:pPr>
                          <w:r>
                            <w:rPr>
                              <w:rFonts w:ascii="Arial Black" w:hAnsi="Arial Black" w:cs="Arial"/>
                              <w:b/>
                              <w:sz w:val="28"/>
                              <w:szCs w:val="28"/>
                            </w:rPr>
                            <w:t>Interdepartmental Transactions</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78B9A44"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71AA1078" w14:textId="77777777" w:rsidR="00457D5E" w:rsidRPr="006D6BA5" w:rsidRDefault="00457D5E" w:rsidP="006D6BA5">
          <w:pPr>
            <w:tabs>
              <w:tab w:val="left" w:pos="-720"/>
              <w:tab w:val="left" w:pos="4998"/>
            </w:tabs>
            <w:suppressAutoHyphens/>
            <w:ind w:right="100"/>
            <w:jc w:val="right"/>
            <w:rPr>
              <w:rFonts w:ascii="Arial" w:hAnsi="Arial"/>
            </w:rPr>
          </w:pPr>
        </w:p>
      </w:tc>
    </w:tr>
  </w:tbl>
  <w:p w14:paraId="4B9D7BED"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03892"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7B1DEB"/>
    <w:multiLevelType w:val="hybridMultilevel"/>
    <w:tmpl w:val="78ACD2E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B6148"/>
    <w:multiLevelType w:val="multilevel"/>
    <w:tmpl w:val="D8A01F88"/>
    <w:lvl w:ilvl="0">
      <w:start w:val="1"/>
      <w:numFmt w:val="upperLetter"/>
      <w:lvlText w:val="%1."/>
      <w:lvlJc w:val="right"/>
      <w:pPr>
        <w:tabs>
          <w:tab w:val="num" w:pos="720"/>
        </w:tabs>
        <w:ind w:left="1080" w:hanging="360"/>
      </w:pPr>
      <w:rPr>
        <w:rFonts w:hint="default"/>
      </w:rPr>
    </w:lvl>
    <w:lvl w:ilvl="1">
      <w:start w:val="1"/>
      <w:numFmt w:val="lowerRoman"/>
      <w:lvlText w:val="%2."/>
      <w:lvlJc w:val="right"/>
      <w:pPr>
        <w:ind w:left="1800" w:hanging="360"/>
      </w:pPr>
      <w:rPr>
        <w:rFonts w:hint="default"/>
        <w:b w:val="0"/>
      </w:rPr>
    </w:lvl>
    <w:lvl w:ilvl="2">
      <w:start w:val="1"/>
      <w:numFmt w:val="decimal"/>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5EC61B0F"/>
    <w:multiLevelType w:val="hybridMultilevel"/>
    <w:tmpl w:val="B628D55C"/>
    <w:lvl w:ilvl="0" w:tplc="AA3C5404">
      <w:start w:val="1"/>
      <w:numFmt w:val="upperLetter"/>
      <w:lvlText w:val="%1."/>
      <w:lvlJc w:val="righ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3078A3"/>
    <w:multiLevelType w:val="hybridMultilevel"/>
    <w:tmpl w:val="78ACD2E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366A46"/>
    <w:multiLevelType w:val="multilevel"/>
    <w:tmpl w:val="BEBCD382"/>
    <w:lvl w:ilvl="0">
      <w:start w:val="1"/>
      <w:numFmt w:val="upperRoman"/>
      <w:lvlText w:val="%1."/>
      <w:lvlJc w:val="right"/>
      <w:pPr>
        <w:ind w:left="360" w:hanging="360"/>
      </w:pPr>
      <w:rPr>
        <w:rFonts w:hint="default"/>
      </w:rPr>
    </w:lvl>
    <w:lvl w:ilvl="1">
      <w:start w:val="1"/>
      <w:numFmt w:val="upperLetter"/>
      <w:lvlText w:val="%2."/>
      <w:lvlJc w:val="right"/>
      <w:pPr>
        <w:ind w:left="1080" w:hanging="360"/>
      </w:pPr>
      <w:rPr>
        <w:rFonts w:hint="default"/>
      </w:rPr>
    </w:lvl>
    <w:lvl w:ilvl="2">
      <w:start w:val="1"/>
      <w:numFmt w:val="decimal"/>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39"/>
  </w:num>
  <w:num w:numId="3">
    <w:abstractNumId w:val="0"/>
  </w:num>
  <w:num w:numId="4">
    <w:abstractNumId w:val="35"/>
  </w:num>
  <w:num w:numId="5">
    <w:abstractNumId w:val="60"/>
  </w:num>
  <w:num w:numId="6">
    <w:abstractNumId w:val="11"/>
  </w:num>
  <w:num w:numId="7">
    <w:abstractNumId w:val="34"/>
  </w:num>
  <w:num w:numId="8">
    <w:abstractNumId w:val="42"/>
  </w:num>
  <w:num w:numId="9">
    <w:abstractNumId w:val="57"/>
  </w:num>
  <w:num w:numId="10">
    <w:abstractNumId w:val="55"/>
  </w:num>
  <w:num w:numId="11">
    <w:abstractNumId w:val="9"/>
  </w:num>
  <w:num w:numId="12">
    <w:abstractNumId w:val="14"/>
  </w:num>
  <w:num w:numId="13">
    <w:abstractNumId w:val="45"/>
  </w:num>
  <w:num w:numId="14">
    <w:abstractNumId w:val="37"/>
  </w:num>
  <w:num w:numId="15">
    <w:abstractNumId w:val="26"/>
  </w:num>
  <w:num w:numId="16">
    <w:abstractNumId w:val="33"/>
  </w:num>
  <w:num w:numId="17">
    <w:abstractNumId w:val="51"/>
  </w:num>
  <w:num w:numId="18">
    <w:abstractNumId w:val="48"/>
  </w:num>
  <w:num w:numId="19">
    <w:abstractNumId w:val="24"/>
  </w:num>
  <w:num w:numId="20">
    <w:abstractNumId w:val="8"/>
  </w:num>
  <w:num w:numId="21">
    <w:abstractNumId w:val="38"/>
  </w:num>
  <w:num w:numId="22">
    <w:abstractNumId w:val="52"/>
  </w:num>
  <w:num w:numId="23">
    <w:abstractNumId w:val="4"/>
  </w:num>
  <w:num w:numId="24">
    <w:abstractNumId w:val="49"/>
  </w:num>
  <w:num w:numId="25">
    <w:abstractNumId w:val="23"/>
  </w:num>
  <w:num w:numId="26">
    <w:abstractNumId w:val="3"/>
  </w:num>
  <w:num w:numId="27">
    <w:abstractNumId w:val="10"/>
  </w:num>
  <w:num w:numId="28">
    <w:abstractNumId w:val="50"/>
  </w:num>
  <w:num w:numId="29">
    <w:abstractNumId w:val="13"/>
  </w:num>
  <w:num w:numId="30">
    <w:abstractNumId w:val="21"/>
  </w:num>
  <w:num w:numId="31">
    <w:abstractNumId w:val="18"/>
  </w:num>
  <w:num w:numId="32">
    <w:abstractNumId w:val="19"/>
  </w:num>
  <w:num w:numId="33">
    <w:abstractNumId w:val="1"/>
  </w:num>
  <w:num w:numId="34">
    <w:abstractNumId w:val="15"/>
  </w:num>
  <w:num w:numId="35">
    <w:abstractNumId w:val="54"/>
  </w:num>
  <w:num w:numId="36">
    <w:abstractNumId w:val="58"/>
  </w:num>
  <w:num w:numId="37">
    <w:abstractNumId w:val="30"/>
  </w:num>
  <w:num w:numId="38">
    <w:abstractNumId w:val="47"/>
  </w:num>
  <w:num w:numId="39">
    <w:abstractNumId w:val="25"/>
  </w:num>
  <w:num w:numId="40">
    <w:abstractNumId w:val="53"/>
  </w:num>
  <w:num w:numId="41">
    <w:abstractNumId w:val="46"/>
  </w:num>
  <w:num w:numId="42">
    <w:abstractNumId w:val="41"/>
  </w:num>
  <w:num w:numId="43">
    <w:abstractNumId w:val="29"/>
  </w:num>
  <w:num w:numId="44">
    <w:abstractNumId w:val="44"/>
  </w:num>
  <w:num w:numId="45">
    <w:abstractNumId w:val="22"/>
  </w:num>
  <w:num w:numId="46">
    <w:abstractNumId w:val="2"/>
  </w:num>
  <w:num w:numId="47">
    <w:abstractNumId w:val="17"/>
  </w:num>
  <w:num w:numId="48">
    <w:abstractNumId w:val="59"/>
  </w:num>
  <w:num w:numId="49">
    <w:abstractNumId w:val="40"/>
  </w:num>
  <w:num w:numId="50">
    <w:abstractNumId w:val="36"/>
  </w:num>
  <w:num w:numId="51">
    <w:abstractNumId w:val="12"/>
  </w:num>
  <w:num w:numId="52">
    <w:abstractNumId w:val="31"/>
  </w:num>
  <w:num w:numId="53">
    <w:abstractNumId w:val="32"/>
  </w:num>
  <w:num w:numId="54">
    <w:abstractNumId w:val="28"/>
  </w:num>
  <w:num w:numId="55">
    <w:abstractNumId w:val="6"/>
  </w:num>
  <w:num w:numId="56">
    <w:abstractNumId w:val="61"/>
  </w:num>
  <w:num w:numId="57">
    <w:abstractNumId w:val="43"/>
  </w:num>
  <w:num w:numId="58">
    <w:abstractNumId w:val="7"/>
  </w:num>
  <w:num w:numId="59">
    <w:abstractNumId w:val="5"/>
  </w:num>
  <w:num w:numId="60">
    <w:abstractNumId w:val="20"/>
  </w:num>
  <w:num w:numId="61">
    <w:abstractNumId w:val="56"/>
  </w:num>
  <w:num w:numId="62">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203C1"/>
    <w:rsid w:val="00033CA5"/>
    <w:rsid w:val="000347B8"/>
    <w:rsid w:val="00035512"/>
    <w:rsid w:val="000554D4"/>
    <w:rsid w:val="00060DFE"/>
    <w:rsid w:val="00075874"/>
    <w:rsid w:val="00076858"/>
    <w:rsid w:val="0009439D"/>
    <w:rsid w:val="00096611"/>
    <w:rsid w:val="000A4265"/>
    <w:rsid w:val="000A69BC"/>
    <w:rsid w:val="000B078F"/>
    <w:rsid w:val="000C342A"/>
    <w:rsid w:val="000C5E30"/>
    <w:rsid w:val="000C631E"/>
    <w:rsid w:val="000D63E3"/>
    <w:rsid w:val="000D6E75"/>
    <w:rsid w:val="000D7207"/>
    <w:rsid w:val="000F0BD5"/>
    <w:rsid w:val="00103F67"/>
    <w:rsid w:val="0011380F"/>
    <w:rsid w:val="00120813"/>
    <w:rsid w:val="00122165"/>
    <w:rsid w:val="001463D1"/>
    <w:rsid w:val="00165C2D"/>
    <w:rsid w:val="0017118E"/>
    <w:rsid w:val="00195CF7"/>
    <w:rsid w:val="001B7CC4"/>
    <w:rsid w:val="001D3A35"/>
    <w:rsid w:val="001D599E"/>
    <w:rsid w:val="001F35FB"/>
    <w:rsid w:val="001F5D23"/>
    <w:rsid w:val="00201586"/>
    <w:rsid w:val="00222AF1"/>
    <w:rsid w:val="00231E14"/>
    <w:rsid w:val="0025167B"/>
    <w:rsid w:val="0027298E"/>
    <w:rsid w:val="002744DE"/>
    <w:rsid w:val="00285D63"/>
    <w:rsid w:val="002B5B58"/>
    <w:rsid w:val="002D2FCF"/>
    <w:rsid w:val="002E72B4"/>
    <w:rsid w:val="002F66B1"/>
    <w:rsid w:val="00302619"/>
    <w:rsid w:val="00322024"/>
    <w:rsid w:val="00323664"/>
    <w:rsid w:val="00323715"/>
    <w:rsid w:val="003248B1"/>
    <w:rsid w:val="0034185D"/>
    <w:rsid w:val="00342C5C"/>
    <w:rsid w:val="003433B8"/>
    <w:rsid w:val="0035006D"/>
    <w:rsid w:val="00360A2A"/>
    <w:rsid w:val="00365FE6"/>
    <w:rsid w:val="00383013"/>
    <w:rsid w:val="00392852"/>
    <w:rsid w:val="003955A9"/>
    <w:rsid w:val="003B0631"/>
    <w:rsid w:val="003B0E56"/>
    <w:rsid w:val="003B648B"/>
    <w:rsid w:val="003C0E3A"/>
    <w:rsid w:val="003D26B4"/>
    <w:rsid w:val="003D5113"/>
    <w:rsid w:val="003F3C04"/>
    <w:rsid w:val="003F3C53"/>
    <w:rsid w:val="004034E7"/>
    <w:rsid w:val="00413458"/>
    <w:rsid w:val="00413EDE"/>
    <w:rsid w:val="00425077"/>
    <w:rsid w:val="0045055B"/>
    <w:rsid w:val="00457D5E"/>
    <w:rsid w:val="0046703F"/>
    <w:rsid w:val="00467731"/>
    <w:rsid w:val="004907BD"/>
    <w:rsid w:val="004913D2"/>
    <w:rsid w:val="004921B5"/>
    <w:rsid w:val="0051160E"/>
    <w:rsid w:val="00531E46"/>
    <w:rsid w:val="00534A86"/>
    <w:rsid w:val="005416DA"/>
    <w:rsid w:val="00552981"/>
    <w:rsid w:val="00554492"/>
    <w:rsid w:val="00564888"/>
    <w:rsid w:val="00565B9F"/>
    <w:rsid w:val="0058377D"/>
    <w:rsid w:val="00584231"/>
    <w:rsid w:val="005A1406"/>
    <w:rsid w:val="005A4263"/>
    <w:rsid w:val="005B0236"/>
    <w:rsid w:val="005B7D59"/>
    <w:rsid w:val="005C01FA"/>
    <w:rsid w:val="005D128A"/>
    <w:rsid w:val="005D3413"/>
    <w:rsid w:val="005D4384"/>
    <w:rsid w:val="005F01E0"/>
    <w:rsid w:val="005F4223"/>
    <w:rsid w:val="005F5103"/>
    <w:rsid w:val="00606998"/>
    <w:rsid w:val="006448DA"/>
    <w:rsid w:val="00645007"/>
    <w:rsid w:val="00650F1A"/>
    <w:rsid w:val="0065100D"/>
    <w:rsid w:val="0066735B"/>
    <w:rsid w:val="00676AA2"/>
    <w:rsid w:val="00682B5E"/>
    <w:rsid w:val="00691661"/>
    <w:rsid w:val="0069690A"/>
    <w:rsid w:val="006A4BC5"/>
    <w:rsid w:val="006A647B"/>
    <w:rsid w:val="006B246F"/>
    <w:rsid w:val="006C00A8"/>
    <w:rsid w:val="006D0B38"/>
    <w:rsid w:val="006D6BA5"/>
    <w:rsid w:val="006E0F94"/>
    <w:rsid w:val="006E13F9"/>
    <w:rsid w:val="006E2066"/>
    <w:rsid w:val="006F0153"/>
    <w:rsid w:val="00700A97"/>
    <w:rsid w:val="007305E5"/>
    <w:rsid w:val="00733397"/>
    <w:rsid w:val="0073645E"/>
    <w:rsid w:val="007432E4"/>
    <w:rsid w:val="0074489F"/>
    <w:rsid w:val="00751C18"/>
    <w:rsid w:val="007622F5"/>
    <w:rsid w:val="0076395E"/>
    <w:rsid w:val="0077006F"/>
    <w:rsid w:val="00783012"/>
    <w:rsid w:val="00790849"/>
    <w:rsid w:val="007B4427"/>
    <w:rsid w:val="007B4FA1"/>
    <w:rsid w:val="007B6897"/>
    <w:rsid w:val="007D37CB"/>
    <w:rsid w:val="007E37F0"/>
    <w:rsid w:val="007F05CA"/>
    <w:rsid w:val="007F2DB6"/>
    <w:rsid w:val="007F5178"/>
    <w:rsid w:val="00801797"/>
    <w:rsid w:val="0081274B"/>
    <w:rsid w:val="00815C0C"/>
    <w:rsid w:val="008172D2"/>
    <w:rsid w:val="00821CF0"/>
    <w:rsid w:val="00854F01"/>
    <w:rsid w:val="0085572E"/>
    <w:rsid w:val="00890547"/>
    <w:rsid w:val="008B4EB1"/>
    <w:rsid w:val="008C1738"/>
    <w:rsid w:val="008C1F13"/>
    <w:rsid w:val="008E19A0"/>
    <w:rsid w:val="008E7E47"/>
    <w:rsid w:val="008F3CE0"/>
    <w:rsid w:val="00900452"/>
    <w:rsid w:val="00915647"/>
    <w:rsid w:val="009160DB"/>
    <w:rsid w:val="00925382"/>
    <w:rsid w:val="00925C82"/>
    <w:rsid w:val="00932B29"/>
    <w:rsid w:val="00943802"/>
    <w:rsid w:val="0094446F"/>
    <w:rsid w:val="00961ECD"/>
    <w:rsid w:val="00974E8D"/>
    <w:rsid w:val="009B04A4"/>
    <w:rsid w:val="009B2B9F"/>
    <w:rsid w:val="009B534B"/>
    <w:rsid w:val="009B5384"/>
    <w:rsid w:val="009B593E"/>
    <w:rsid w:val="009C753F"/>
    <w:rsid w:val="009D5F03"/>
    <w:rsid w:val="009D7430"/>
    <w:rsid w:val="009E1D0A"/>
    <w:rsid w:val="00A116DD"/>
    <w:rsid w:val="00A21608"/>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3C7B"/>
    <w:rsid w:val="00A67B17"/>
    <w:rsid w:val="00A8367C"/>
    <w:rsid w:val="00AB0A6B"/>
    <w:rsid w:val="00AC1A7A"/>
    <w:rsid w:val="00AC3441"/>
    <w:rsid w:val="00AD7268"/>
    <w:rsid w:val="00AE2F26"/>
    <w:rsid w:val="00AE6F99"/>
    <w:rsid w:val="00AE728C"/>
    <w:rsid w:val="00B0383B"/>
    <w:rsid w:val="00B04893"/>
    <w:rsid w:val="00B07036"/>
    <w:rsid w:val="00B07137"/>
    <w:rsid w:val="00B21CAC"/>
    <w:rsid w:val="00B232B9"/>
    <w:rsid w:val="00B25037"/>
    <w:rsid w:val="00B32D1E"/>
    <w:rsid w:val="00B43A2D"/>
    <w:rsid w:val="00B47320"/>
    <w:rsid w:val="00B54D83"/>
    <w:rsid w:val="00B6234D"/>
    <w:rsid w:val="00B77C4B"/>
    <w:rsid w:val="00B8595F"/>
    <w:rsid w:val="00B9640C"/>
    <w:rsid w:val="00BA2C73"/>
    <w:rsid w:val="00BA4147"/>
    <w:rsid w:val="00BA60C5"/>
    <w:rsid w:val="00BA78FD"/>
    <w:rsid w:val="00BB53C0"/>
    <w:rsid w:val="00BD7B9B"/>
    <w:rsid w:val="00BE5BFC"/>
    <w:rsid w:val="00BF1DF7"/>
    <w:rsid w:val="00BF75E5"/>
    <w:rsid w:val="00C05733"/>
    <w:rsid w:val="00C10E84"/>
    <w:rsid w:val="00C22A66"/>
    <w:rsid w:val="00C24683"/>
    <w:rsid w:val="00C451CB"/>
    <w:rsid w:val="00C4771B"/>
    <w:rsid w:val="00C5013C"/>
    <w:rsid w:val="00C53DFF"/>
    <w:rsid w:val="00C76319"/>
    <w:rsid w:val="00CA34CF"/>
    <w:rsid w:val="00CB2576"/>
    <w:rsid w:val="00CB3E54"/>
    <w:rsid w:val="00CB51BA"/>
    <w:rsid w:val="00CC105A"/>
    <w:rsid w:val="00CC22E0"/>
    <w:rsid w:val="00CC3A40"/>
    <w:rsid w:val="00CD0FA3"/>
    <w:rsid w:val="00CE0342"/>
    <w:rsid w:val="00CE1F72"/>
    <w:rsid w:val="00CE3E60"/>
    <w:rsid w:val="00D01753"/>
    <w:rsid w:val="00D04322"/>
    <w:rsid w:val="00D1306F"/>
    <w:rsid w:val="00D206FA"/>
    <w:rsid w:val="00D25F7F"/>
    <w:rsid w:val="00D35F1A"/>
    <w:rsid w:val="00D3642E"/>
    <w:rsid w:val="00D438B4"/>
    <w:rsid w:val="00D45983"/>
    <w:rsid w:val="00D541E4"/>
    <w:rsid w:val="00D56FB5"/>
    <w:rsid w:val="00D61567"/>
    <w:rsid w:val="00D67378"/>
    <w:rsid w:val="00D70FFD"/>
    <w:rsid w:val="00D72F95"/>
    <w:rsid w:val="00DA1A22"/>
    <w:rsid w:val="00DA30AD"/>
    <w:rsid w:val="00DB1101"/>
    <w:rsid w:val="00DB208F"/>
    <w:rsid w:val="00DC6978"/>
    <w:rsid w:val="00E16BE6"/>
    <w:rsid w:val="00E16FB7"/>
    <w:rsid w:val="00E179A1"/>
    <w:rsid w:val="00E268F2"/>
    <w:rsid w:val="00E35386"/>
    <w:rsid w:val="00E5391A"/>
    <w:rsid w:val="00E746FA"/>
    <w:rsid w:val="00E91AB2"/>
    <w:rsid w:val="00E9557A"/>
    <w:rsid w:val="00E97BE8"/>
    <w:rsid w:val="00EA6D0A"/>
    <w:rsid w:val="00EC23B9"/>
    <w:rsid w:val="00EE2FD2"/>
    <w:rsid w:val="00EF0D43"/>
    <w:rsid w:val="00EF3C8A"/>
    <w:rsid w:val="00EF4D94"/>
    <w:rsid w:val="00F00ED9"/>
    <w:rsid w:val="00F24684"/>
    <w:rsid w:val="00F317DF"/>
    <w:rsid w:val="00F412DB"/>
    <w:rsid w:val="00F4178F"/>
    <w:rsid w:val="00F455E5"/>
    <w:rsid w:val="00F547A1"/>
    <w:rsid w:val="00F55920"/>
    <w:rsid w:val="00F8054E"/>
    <w:rsid w:val="00F82580"/>
    <w:rsid w:val="00F97741"/>
    <w:rsid w:val="00FA28D4"/>
    <w:rsid w:val="00FB6219"/>
    <w:rsid w:val="00FB6D0D"/>
    <w:rsid w:val="00FB7957"/>
    <w:rsid w:val="00FC3EDC"/>
    <w:rsid w:val="00FD7AC1"/>
    <w:rsid w:val="00FE0117"/>
    <w:rsid w:val="00FE2678"/>
    <w:rsid w:val="00FE3F6F"/>
    <w:rsid w:val="00FE6CB2"/>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9A777A"/>
  <w15:docId w15:val="{98DCD509-DD88-4EB6-A861-D81640DD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semiHidden/>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semiHidden/>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F552-70BA-47DF-B203-2FA9B611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642</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6</cp:revision>
  <cp:lastPrinted>2021-11-30T22:37:00Z</cp:lastPrinted>
  <dcterms:created xsi:type="dcterms:W3CDTF">2022-01-25T19:58:00Z</dcterms:created>
  <dcterms:modified xsi:type="dcterms:W3CDTF">2022-02-23T22:51:00Z</dcterms:modified>
</cp:coreProperties>
</file>